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32D4B" w14:textId="4378B6B9" w:rsidR="0063190E" w:rsidRDefault="0063190E" w:rsidP="67303C8C">
      <w:pPr>
        <w:spacing w:after="80"/>
        <w:jc w:val="center"/>
      </w:pPr>
    </w:p>
    <w:p w14:paraId="269E2C0C" w14:textId="117D8534" w:rsidR="0063190E" w:rsidRDefault="0063190E" w:rsidP="67303C8C">
      <w:pPr>
        <w:spacing w:after="80"/>
        <w:jc w:val="center"/>
      </w:pPr>
    </w:p>
    <w:p w14:paraId="42C26EB6" w14:textId="7B3C4357" w:rsidR="0063190E" w:rsidRDefault="0063190E" w:rsidP="00592DF6">
      <w:pPr>
        <w:spacing w:after="80"/>
        <w:jc w:val="center"/>
        <w:rPr>
          <w:rFonts w:ascii="Oxfam TSTAR PRO" w:eastAsia="Oxfam TSTAR PRO" w:hAnsi="Oxfam TSTAR PRO" w:cs="Oxfam TSTAR PRO"/>
          <w:color w:val="888888"/>
          <w:sz w:val="20"/>
          <w:szCs w:val="20"/>
        </w:rPr>
      </w:pPr>
      <w:r>
        <w:rPr>
          <w:noProof/>
        </w:rPr>
        <w:drawing>
          <wp:inline distT="0" distB="0" distL="0" distR="0" wp14:anchorId="5B6C7CCB" wp14:editId="07DF437C">
            <wp:extent cx="762000" cy="857250"/>
            <wp:effectExtent l="0" t="0" r="0" b="0"/>
            <wp:docPr id="19197538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753858" name="Picture 1919753858"/>
                    <pic:cNvPicPr/>
                  </pic:nvPicPr>
                  <pic:blipFill>
                    <a:blip r:embed="rId8">
                      <a:extLst>
                        <a:ext uri="{28A0092B-C50C-407E-A947-70E740481C1C}">
                          <a14:useLocalDpi xmlns:a14="http://schemas.microsoft.com/office/drawing/2010/main"/>
                        </a:ext>
                      </a:extLst>
                    </a:blip>
                    <a:stretch>
                      <a:fillRect/>
                    </a:stretch>
                  </pic:blipFill>
                  <pic:spPr>
                    <a:xfrm>
                      <a:off x="0" y="0"/>
                      <a:ext cx="762000" cy="857250"/>
                    </a:xfrm>
                    <a:prstGeom prst="rect">
                      <a:avLst/>
                    </a:prstGeom>
                  </pic:spPr>
                </pic:pic>
              </a:graphicData>
            </a:graphic>
          </wp:inline>
        </w:drawing>
      </w:r>
    </w:p>
    <w:p w14:paraId="5829FC7F" w14:textId="4F0E00A8" w:rsidR="0063190E" w:rsidRDefault="0063190E" w:rsidP="00592DF6">
      <w:pPr>
        <w:spacing w:after="80"/>
        <w:jc w:val="center"/>
        <w:rPr>
          <w:rFonts w:ascii="Oxfam TSTAR PRO" w:eastAsia="Oxfam TSTAR PRO" w:hAnsi="Oxfam TSTAR PRO" w:cs="Oxfam TSTAR PRO"/>
          <w:color w:val="888888"/>
          <w:sz w:val="20"/>
          <w:szCs w:val="20"/>
        </w:rPr>
      </w:pPr>
    </w:p>
    <w:p w14:paraId="4413AD8D" w14:textId="341F6234" w:rsidR="0063190E" w:rsidRDefault="0063190E" w:rsidP="00592DF6">
      <w:pPr>
        <w:spacing w:after="80"/>
        <w:jc w:val="center"/>
        <w:rPr>
          <w:rFonts w:ascii="Oxfam TSTAR PRO" w:eastAsia="Oxfam TSTAR PRO" w:hAnsi="Oxfam TSTAR PRO" w:cs="Oxfam TSTAR PRO"/>
          <w:color w:val="888888"/>
          <w:sz w:val="20"/>
          <w:szCs w:val="20"/>
        </w:rPr>
      </w:pPr>
    </w:p>
    <w:p w14:paraId="4BAEC1ED" w14:textId="5BF537B2" w:rsidR="0063190E" w:rsidRDefault="67303C8C" w:rsidP="00592DF6">
      <w:pPr>
        <w:spacing w:after="80"/>
        <w:jc w:val="center"/>
        <w:rPr>
          <w:rFonts w:ascii="Oxfam TSTAR PRO" w:eastAsia="Oxfam TSTAR PRO" w:hAnsi="Oxfam TSTAR PRO" w:cs="Oxfam TSTAR PRO"/>
          <w:color w:val="3D6B2E"/>
          <w:sz w:val="26"/>
          <w:szCs w:val="26"/>
        </w:rPr>
      </w:pPr>
      <w:r w:rsidRPr="67303C8C">
        <w:rPr>
          <w:rFonts w:ascii="Oxfam TSTAR PRO" w:eastAsia="Oxfam TSTAR PRO" w:hAnsi="Oxfam TSTAR PRO" w:cs="Oxfam TSTAR PRO"/>
          <w:b/>
          <w:bCs/>
          <w:color w:val="3D6B2E"/>
          <w:sz w:val="26"/>
          <w:szCs w:val="26"/>
        </w:rPr>
        <w:t>EMERGENCY PROTECTION MONITORING REPORT</w:t>
      </w:r>
    </w:p>
    <w:p w14:paraId="121A390C" w14:textId="0BDE4729" w:rsidR="0063190E" w:rsidRDefault="67303C8C" w:rsidP="00592DF6">
      <w:pPr>
        <w:spacing w:after="80"/>
        <w:jc w:val="center"/>
        <w:rPr>
          <w:rFonts w:ascii="Oxfam TSTAR PRO" w:eastAsia="Oxfam TSTAR PRO" w:hAnsi="Oxfam TSTAR PRO" w:cs="Oxfam TSTAR PRO"/>
          <w:color w:val="3D6B2E"/>
          <w:sz w:val="26"/>
          <w:szCs w:val="26"/>
        </w:rPr>
      </w:pPr>
      <w:r w:rsidRPr="67303C8C">
        <w:rPr>
          <w:rFonts w:ascii="Oxfam TSTAR PRO" w:eastAsia="Oxfam TSTAR PRO" w:hAnsi="Oxfam TSTAR PRO" w:cs="Oxfam TSTAR PRO"/>
          <w:b/>
          <w:bCs/>
          <w:color w:val="3D6B2E"/>
          <w:sz w:val="26"/>
          <w:szCs w:val="26"/>
        </w:rPr>
        <w:t>July 2026</w:t>
      </w:r>
    </w:p>
    <w:p w14:paraId="3A05ACC6" w14:textId="46DA6760" w:rsidR="0063190E" w:rsidRPr="0050462C" w:rsidRDefault="3A12411D" w:rsidP="3A12411D">
      <w:pPr>
        <w:pStyle w:val="Heading1"/>
        <w:pBdr>
          <w:bottom w:val="single" w:sz="8" w:space="6" w:color="3D6B2E"/>
        </w:pBdr>
        <w:spacing w:after="160" w:line="259" w:lineRule="auto"/>
      </w:pPr>
      <w:r w:rsidRPr="3A12411D">
        <w:rPr>
          <w:rFonts w:ascii="Oxfam TSTAR PRO" w:eastAsia="Oxfam TSTAR PRO" w:hAnsi="Oxfam TSTAR PRO" w:cs="Oxfam TSTAR PRO"/>
          <w:b/>
          <w:bCs/>
          <w:color w:val="1F4E79"/>
          <w:sz w:val="28"/>
          <w:szCs w:val="28"/>
        </w:rPr>
        <w:t>1. SITUATION OVERVIEW</w:t>
      </w:r>
    </w:p>
    <w:p w14:paraId="4B054B59" w14:textId="46EE100A" w:rsidR="3806B964" w:rsidRPr="00592DF6" w:rsidRDefault="3806B964" w:rsidP="00592DF6"/>
    <w:p w14:paraId="4B2B961E" w14:textId="10F88BAD" w:rsidR="0063190E" w:rsidRPr="0050462C" w:rsidRDefault="5E06360D" w:rsidP="5E06360D">
      <w:pPr>
        <w:jc w:val="both"/>
        <w:rPr>
          <w:rFonts w:asciiTheme="majorBidi" w:hAnsiTheme="majorBidi" w:cstheme="majorBidi"/>
        </w:rPr>
      </w:pPr>
      <w:r w:rsidRPr="5E06360D">
        <w:rPr>
          <w:rFonts w:asciiTheme="majorBidi" w:hAnsiTheme="majorBidi" w:cstheme="majorBidi"/>
        </w:rPr>
        <w:t>During July 2026, the protection environment across monitored collective shelters in South Lebanon and the Bekaa remained characterized by protracted displacement, shelter consolidation measures, barriers to safe and dignified return, deteriorating socioeconomic conditions, and persistent gaps in access to essential services. While displacement trends differed between the two regions, monitoring findings indicate that the households remaining displaced increasingly represent some of the most vulnerable caseloads, facing complex and overlapping protection risks linked to insecurity, housing destruction, loss of livelihoods, financial hardship, and inadequate living conditions.</w:t>
      </w:r>
    </w:p>
    <w:p w14:paraId="622AE74B" w14:textId="0A258A6D" w:rsidR="0063190E" w:rsidRPr="0050462C" w:rsidRDefault="1F43BD99" w:rsidP="1F43BD99">
      <w:pPr>
        <w:jc w:val="both"/>
        <w:rPr>
          <w:rFonts w:asciiTheme="majorBidi" w:hAnsiTheme="majorBidi" w:cstheme="majorBidi"/>
        </w:rPr>
      </w:pPr>
      <w:r w:rsidRPr="1F43BD99">
        <w:rPr>
          <w:rFonts w:asciiTheme="majorBidi" w:hAnsiTheme="majorBidi" w:cstheme="majorBidi"/>
        </w:rPr>
        <w:t>In South Lebanon, shelter closures emerged as major protection concerns throughout the reporting period. The closure of Lebanese University Faculty of Arts and continued shelter consolidation measures generated significant anxiety among displaced households, many of whom reported having limited accommodation alternatives. Families expressed concerns regarding overcrowding in receiving shelters, unaffordable rental costs, damaged homes in areas of origin, and the risk of repeated displacement.</w:t>
      </w:r>
    </w:p>
    <w:p w14:paraId="00C108DC" w14:textId="2313BA6C" w:rsidR="0063190E" w:rsidRPr="0050462C" w:rsidRDefault="42F86C9E" w:rsidP="79B642A7">
      <w:pPr>
        <w:jc w:val="both"/>
      </w:pPr>
      <w:r w:rsidRPr="42F86C9E">
        <w:rPr>
          <w:rFonts w:asciiTheme="majorBidi" w:hAnsiTheme="majorBidi" w:cstheme="majorBidi"/>
        </w:rPr>
        <w:t xml:space="preserve">In the Bekaa, </w:t>
      </w:r>
      <w:proofErr w:type="gramStart"/>
      <w:r w:rsidRPr="42F86C9E">
        <w:rPr>
          <w:rFonts w:asciiTheme="majorBidi" w:hAnsiTheme="majorBidi" w:cstheme="majorBidi"/>
        </w:rPr>
        <w:t>the majority of</w:t>
      </w:r>
      <w:proofErr w:type="gramEnd"/>
      <w:r w:rsidRPr="42F86C9E">
        <w:rPr>
          <w:rFonts w:asciiTheme="majorBidi" w:hAnsiTheme="majorBidi" w:cstheme="majorBidi"/>
        </w:rPr>
        <w:t xml:space="preserve"> displaced households had already returned following the ceasefire, leaving only a residual caseload residing in the remaining active collective shelters. </w:t>
      </w:r>
    </w:p>
    <w:p w14:paraId="22F825C1" w14:textId="0EA51C79" w:rsidR="0063190E" w:rsidRPr="0050462C" w:rsidRDefault="42F86C9E" w:rsidP="79B642A7">
      <w:pPr>
        <w:jc w:val="both"/>
        <w:rPr>
          <w:rFonts w:asciiTheme="majorBidi" w:hAnsiTheme="majorBidi" w:cstheme="majorBidi"/>
        </w:rPr>
      </w:pPr>
      <w:r w:rsidRPr="42F86C9E">
        <w:rPr>
          <w:rFonts w:asciiTheme="majorBidi" w:hAnsiTheme="majorBidi" w:cstheme="majorBidi"/>
        </w:rPr>
        <w:t xml:space="preserve">However, monitoring findings indicate that the remaining households in both areas face substantial barriers to return, including insecurity, extensive destruction of housing, loss of livelihoods, and the inability to secure alternative accommodation. These households continue to experience heightened protection risks associated with poverty, inadequate shelter and WASH services, healthcare barriers, and increasing reliance on negative coping mechanisms. </w:t>
      </w:r>
    </w:p>
    <w:p w14:paraId="24CD1A1B" w14:textId="10A9C92C" w:rsidR="0063190E" w:rsidRPr="0050462C" w:rsidRDefault="0063190E" w:rsidP="0050462C">
      <w:pPr>
        <w:jc w:val="both"/>
        <w:rPr>
          <w:rFonts w:asciiTheme="majorBidi" w:hAnsiTheme="majorBidi" w:cstheme="majorBidi"/>
        </w:rPr>
      </w:pPr>
      <w:r w:rsidRPr="0050462C">
        <w:rPr>
          <w:rFonts w:asciiTheme="majorBidi" w:hAnsiTheme="majorBidi" w:cstheme="majorBidi"/>
        </w:rPr>
        <w:lastRenderedPageBreak/>
        <w:t>Across both operational areas, protection concerns extended beyond immediate displacement-related needs. Households consistently reported challenges accessing healthcare, food, safe water, and other essential services. Psychosocial distress remained widespread, while accountability concerns, unequal perceptions of assistance distribution, community tensions, and gaps affecting women, children, persons with disabilities, older persons, and female-headed households continued to undermine safety, dignity, well-being, and social cohesion.</w:t>
      </w:r>
    </w:p>
    <w:p w14:paraId="6B6F521A" w14:textId="06FC35F6" w:rsidR="0063190E" w:rsidRPr="0050462C" w:rsidRDefault="0063190E" w:rsidP="0050462C">
      <w:pPr>
        <w:jc w:val="both"/>
        <w:rPr>
          <w:rFonts w:asciiTheme="majorBidi" w:hAnsiTheme="majorBidi" w:cstheme="majorBidi"/>
        </w:rPr>
      </w:pPr>
      <w:r w:rsidRPr="0050462C">
        <w:rPr>
          <w:rFonts w:asciiTheme="majorBidi" w:hAnsiTheme="majorBidi" w:cstheme="majorBidi"/>
        </w:rPr>
        <w:t xml:space="preserve">Overall, findings indicate that despite localized improvements and humanitarian interventions, the remaining displaced population continues to face interconnected protection risks requiring sustained protection monitoring, accountability mechanisms, referrals, advocacy, and coordinated multi-sectoral support. </w:t>
      </w:r>
    </w:p>
    <w:p w14:paraId="07AE621A" w14:textId="68E5323B" w:rsidR="3F1FA75A" w:rsidRPr="00592DF6" w:rsidRDefault="3F1FA75A" w:rsidP="00592DF6">
      <w:pPr>
        <w:pStyle w:val="Heading1"/>
        <w:pBdr>
          <w:bottom w:val="single" w:sz="8" w:space="6" w:color="3D6B2E"/>
        </w:pBdr>
        <w:spacing w:after="160" w:line="259" w:lineRule="auto"/>
        <w:rPr>
          <w:rFonts w:ascii="Oxfam TSTAR PRO" w:eastAsia="Oxfam TSTAR PRO" w:hAnsi="Oxfam TSTAR PRO" w:cs="Oxfam TSTAR PRO"/>
          <w:b/>
          <w:bCs/>
          <w:color w:val="1F4E79"/>
          <w:sz w:val="28"/>
          <w:szCs w:val="28"/>
        </w:rPr>
      </w:pPr>
      <w:r w:rsidRPr="00592DF6">
        <w:rPr>
          <w:rFonts w:ascii="Oxfam TSTAR PRO" w:eastAsia="Oxfam TSTAR PRO" w:hAnsi="Oxfam TSTAR PRO" w:cs="Oxfam TSTAR PRO"/>
          <w:b/>
          <w:bCs/>
          <w:color w:val="1F4E79"/>
          <w:sz w:val="28"/>
          <w:szCs w:val="28"/>
        </w:rPr>
        <w:t xml:space="preserve"> 2. Methodology</w:t>
      </w:r>
    </w:p>
    <w:p w14:paraId="213CF8D6" w14:textId="79E3567F" w:rsidR="3F1FA75A" w:rsidRPr="00592DF6" w:rsidRDefault="3F1FA75A" w:rsidP="00592DF6"/>
    <w:p w14:paraId="2675504D" w14:textId="51961DA5" w:rsidR="0063190E" w:rsidRPr="0050462C" w:rsidRDefault="0063190E" w:rsidP="0050462C">
      <w:pPr>
        <w:jc w:val="both"/>
        <w:rPr>
          <w:rFonts w:asciiTheme="majorBidi" w:hAnsiTheme="majorBidi" w:cstheme="majorBidi"/>
        </w:rPr>
      </w:pPr>
      <w:r w:rsidRPr="0050462C">
        <w:rPr>
          <w:rFonts w:asciiTheme="majorBidi" w:hAnsiTheme="majorBidi" w:cstheme="majorBidi"/>
        </w:rPr>
        <w:t>Protection Monitoring data were collected through structured face-to-face interviews conducted in collective shelters across South Lebanon and the Bekaa. Data collection was complemented by protection observation activities, helpdesk engagement, awareness sessions, direct engagement with affected populations, field observations, discussions with shelter focal points, and coordination with humanitarian actors.</w:t>
      </w:r>
    </w:p>
    <w:p w14:paraId="7D9672D6" w14:textId="5D1E3FF6" w:rsidR="0063190E" w:rsidRPr="0050462C" w:rsidRDefault="1F43BD99" w:rsidP="1F43BD99">
      <w:pPr>
        <w:jc w:val="both"/>
        <w:rPr>
          <w:rFonts w:asciiTheme="majorBidi" w:hAnsiTheme="majorBidi" w:cstheme="majorBidi"/>
        </w:rPr>
      </w:pPr>
      <w:r w:rsidRPr="1F43BD99">
        <w:rPr>
          <w:rFonts w:asciiTheme="majorBidi" w:hAnsiTheme="majorBidi" w:cstheme="majorBidi"/>
        </w:rPr>
        <w:t xml:space="preserve">A total of 96 Protection Monitoring interviews were conducted during July 2026, including 66 interviews in South Lebanon and 30 interviews in the Bekaa. In addition, 18 Protection Observation Tools were completed in </w:t>
      </w:r>
      <w:proofErr w:type="gramStart"/>
      <w:r w:rsidRPr="1F43BD99">
        <w:rPr>
          <w:rFonts w:asciiTheme="majorBidi" w:hAnsiTheme="majorBidi" w:cstheme="majorBidi"/>
        </w:rPr>
        <w:t>the Bekaa</w:t>
      </w:r>
      <w:proofErr w:type="gramEnd"/>
      <w:r w:rsidRPr="1F43BD99">
        <w:rPr>
          <w:rFonts w:asciiTheme="majorBidi" w:hAnsiTheme="majorBidi" w:cstheme="majorBidi"/>
        </w:rPr>
        <w:t xml:space="preserve"> to support analysis and triangulation of findings. </w:t>
      </w:r>
    </w:p>
    <w:p w14:paraId="17E4E0D4" w14:textId="77F90206" w:rsidR="0063190E" w:rsidRPr="0050462C" w:rsidRDefault="0063190E" w:rsidP="0050462C">
      <w:pPr>
        <w:jc w:val="both"/>
        <w:rPr>
          <w:rFonts w:asciiTheme="majorBidi" w:hAnsiTheme="majorBidi" w:cstheme="majorBidi"/>
        </w:rPr>
      </w:pPr>
      <w:r w:rsidRPr="0050462C">
        <w:rPr>
          <w:rFonts w:asciiTheme="majorBidi" w:hAnsiTheme="majorBidi" w:cstheme="majorBidi"/>
        </w:rPr>
        <w:t xml:space="preserve">Women represented </w:t>
      </w:r>
      <w:proofErr w:type="gramStart"/>
      <w:r w:rsidRPr="0050462C">
        <w:rPr>
          <w:rFonts w:asciiTheme="majorBidi" w:hAnsiTheme="majorBidi" w:cstheme="majorBidi"/>
        </w:rPr>
        <w:t>the majority of</w:t>
      </w:r>
      <w:proofErr w:type="gramEnd"/>
      <w:r w:rsidRPr="0050462C">
        <w:rPr>
          <w:rFonts w:asciiTheme="majorBidi" w:hAnsiTheme="majorBidi" w:cstheme="majorBidi"/>
        </w:rPr>
        <w:t xml:space="preserve"> individual respondents, accounting for approximately </w:t>
      </w:r>
      <w:r w:rsidR="00D66761" w:rsidRPr="0050462C">
        <w:rPr>
          <w:rFonts w:asciiTheme="majorBidi" w:hAnsiTheme="majorBidi" w:cstheme="majorBidi"/>
        </w:rPr>
        <w:t>65</w:t>
      </w:r>
      <w:r w:rsidRPr="0050462C">
        <w:rPr>
          <w:rFonts w:asciiTheme="majorBidi" w:hAnsiTheme="majorBidi" w:cstheme="majorBidi"/>
        </w:rPr>
        <w:t>% (</w:t>
      </w:r>
      <w:r w:rsidR="00D66761" w:rsidRPr="0050462C">
        <w:rPr>
          <w:rFonts w:asciiTheme="majorBidi" w:hAnsiTheme="majorBidi" w:cstheme="majorBidi"/>
        </w:rPr>
        <w:t xml:space="preserve">62 </w:t>
      </w:r>
      <w:r w:rsidRPr="0050462C">
        <w:rPr>
          <w:rFonts w:asciiTheme="majorBidi" w:hAnsiTheme="majorBidi" w:cstheme="majorBidi"/>
        </w:rPr>
        <w:t xml:space="preserve">respondents) of the interviews, while men represented approximately </w:t>
      </w:r>
      <w:r w:rsidR="00D66761" w:rsidRPr="0050462C">
        <w:rPr>
          <w:rFonts w:asciiTheme="majorBidi" w:hAnsiTheme="majorBidi" w:cstheme="majorBidi"/>
        </w:rPr>
        <w:t>35</w:t>
      </w:r>
      <w:r w:rsidRPr="0050462C">
        <w:rPr>
          <w:rFonts w:asciiTheme="majorBidi" w:hAnsiTheme="majorBidi" w:cstheme="majorBidi"/>
        </w:rPr>
        <w:t>% (</w:t>
      </w:r>
      <w:r w:rsidR="00D66761" w:rsidRPr="0050462C">
        <w:rPr>
          <w:rFonts w:asciiTheme="majorBidi" w:hAnsiTheme="majorBidi" w:cstheme="majorBidi"/>
        </w:rPr>
        <w:t>34</w:t>
      </w:r>
      <w:r w:rsidRPr="0050462C">
        <w:rPr>
          <w:rFonts w:asciiTheme="majorBidi" w:hAnsiTheme="majorBidi" w:cstheme="majorBidi"/>
        </w:rPr>
        <w:t xml:space="preserve"> respondents). In addition, one group discussion/interview was conducted with a group of displaced residents, including women, men, persons with disabilities, and elderly individuals. The sample therefore captured perspectives from different demographic and vulnerability groups residing in collective shelters.</w:t>
      </w:r>
    </w:p>
    <w:p w14:paraId="458662F8" w14:textId="6DA4C6D2" w:rsidR="0063190E" w:rsidRPr="0050462C" w:rsidRDefault="0063190E" w:rsidP="0050462C">
      <w:pPr>
        <w:jc w:val="both"/>
        <w:rPr>
          <w:rFonts w:asciiTheme="majorBidi" w:hAnsiTheme="majorBidi" w:cstheme="majorBidi"/>
        </w:rPr>
      </w:pPr>
      <w:r w:rsidRPr="0050462C">
        <w:rPr>
          <w:rFonts w:asciiTheme="majorBidi" w:hAnsiTheme="majorBidi" w:cstheme="majorBidi"/>
        </w:rPr>
        <w:t>Regarding age, approximately 97% (</w:t>
      </w:r>
      <w:r w:rsidR="00D66761" w:rsidRPr="0050462C">
        <w:rPr>
          <w:rFonts w:asciiTheme="majorBidi" w:hAnsiTheme="majorBidi" w:cstheme="majorBidi"/>
        </w:rPr>
        <w:t>93</w:t>
      </w:r>
      <w:r w:rsidRPr="0050462C">
        <w:rPr>
          <w:rFonts w:asciiTheme="majorBidi" w:hAnsiTheme="majorBidi" w:cstheme="majorBidi"/>
        </w:rPr>
        <w:t xml:space="preserve"> respondents) were aged 18–59 years, while 3% (</w:t>
      </w:r>
      <w:r w:rsidR="00D66761" w:rsidRPr="0050462C">
        <w:rPr>
          <w:rFonts w:asciiTheme="majorBidi" w:hAnsiTheme="majorBidi" w:cstheme="majorBidi"/>
        </w:rPr>
        <w:t>3</w:t>
      </w:r>
      <w:r w:rsidRPr="0050462C">
        <w:rPr>
          <w:rFonts w:asciiTheme="majorBidi" w:hAnsiTheme="majorBidi" w:cstheme="majorBidi"/>
        </w:rPr>
        <w:t xml:space="preserve"> respondents) were aged 60 years and above (elderly).</w:t>
      </w:r>
    </w:p>
    <w:p w14:paraId="0FC065EB" w14:textId="3BC4FE0A" w:rsidR="0063190E" w:rsidRPr="0050462C" w:rsidRDefault="44A45529" w:rsidP="7916EF89">
      <w:pPr>
        <w:jc w:val="both"/>
        <w:rPr>
          <w:rFonts w:asciiTheme="majorBidi" w:hAnsiTheme="majorBidi" w:cstheme="majorBidi"/>
        </w:rPr>
      </w:pPr>
      <w:r w:rsidRPr="44A45529">
        <w:rPr>
          <w:rFonts w:asciiTheme="majorBidi" w:hAnsiTheme="majorBidi" w:cstheme="majorBidi"/>
        </w:rPr>
        <w:t>The analysis also incorporates information collected through referrals, service mapping sessions, awareness activities, community engagement, and observations of changing displacement dynamics, including shelter closures, population movements, returns, and relocation processes. Findings were cross-checked against qualitative evidence gathered throughout the reporting period to ensure a comprehensive understanding of emerging protection threats and risks.</w:t>
      </w:r>
    </w:p>
    <w:p w14:paraId="40B30CAB" w14:textId="0F52A219" w:rsidR="0063190E" w:rsidRPr="00592DF6" w:rsidRDefault="3F1FA75A" w:rsidP="00592DF6">
      <w:pPr>
        <w:pStyle w:val="Heading1"/>
        <w:pBdr>
          <w:bottom w:val="single" w:sz="8" w:space="6" w:color="3D6B2E"/>
        </w:pBdr>
        <w:spacing w:after="160" w:line="259" w:lineRule="auto"/>
        <w:rPr>
          <w:rFonts w:ascii="Oxfam TSTAR PRO" w:eastAsia="Oxfam TSTAR PRO" w:hAnsi="Oxfam TSTAR PRO" w:cs="Oxfam TSTAR PRO"/>
          <w:b/>
          <w:bCs/>
          <w:color w:val="1F4E79"/>
          <w:sz w:val="28"/>
          <w:szCs w:val="28"/>
        </w:rPr>
      </w:pPr>
      <w:r w:rsidRPr="00592DF6">
        <w:rPr>
          <w:rFonts w:ascii="Oxfam TSTAR PRO" w:eastAsia="Oxfam TSTAR PRO" w:hAnsi="Oxfam TSTAR PRO" w:cs="Oxfam TSTAR PRO"/>
          <w:b/>
          <w:bCs/>
          <w:color w:val="1F4E79"/>
          <w:sz w:val="28"/>
          <w:szCs w:val="28"/>
        </w:rPr>
        <w:lastRenderedPageBreak/>
        <w:t xml:space="preserve"> 3. Operational Context and Protection Environment</w:t>
      </w:r>
    </w:p>
    <w:p w14:paraId="47800A1C" w14:textId="3891BB9B" w:rsidR="3F1FA75A" w:rsidRPr="00592DF6" w:rsidRDefault="3F1FA75A" w:rsidP="00592DF6"/>
    <w:p w14:paraId="5E2ACBE5" w14:textId="14777BF0" w:rsidR="0063190E" w:rsidRPr="0050462C" w:rsidRDefault="0063190E" w:rsidP="0050462C">
      <w:pPr>
        <w:jc w:val="both"/>
        <w:rPr>
          <w:rFonts w:asciiTheme="majorBidi" w:hAnsiTheme="majorBidi" w:cstheme="majorBidi"/>
        </w:rPr>
      </w:pPr>
      <w:r w:rsidRPr="0050462C">
        <w:rPr>
          <w:rFonts w:asciiTheme="majorBidi" w:hAnsiTheme="majorBidi" w:cstheme="majorBidi"/>
        </w:rPr>
        <w:t xml:space="preserve">The July reporting period unfolded within a dynamic and evolving displacement context. In South Lebanon, collective shelters continued receiving families displaced from border areas and shelters undergoing consolidation or closure. At the same time, educational facilities serving as collective shelters increasingly </w:t>
      </w:r>
      <w:r w:rsidR="00592DF6" w:rsidRPr="0050462C">
        <w:rPr>
          <w:rFonts w:asciiTheme="majorBidi" w:hAnsiTheme="majorBidi" w:cstheme="majorBidi"/>
        </w:rPr>
        <w:t>face</w:t>
      </w:r>
      <w:r w:rsidRPr="0050462C">
        <w:rPr>
          <w:rFonts w:asciiTheme="majorBidi" w:hAnsiTheme="majorBidi" w:cstheme="majorBidi"/>
        </w:rPr>
        <w:t xml:space="preserve"> pressure to resume educational activities, creating uncertainty for displaced residents regarding future accommodation arrangements. </w:t>
      </w:r>
    </w:p>
    <w:p w14:paraId="03963F27" w14:textId="21E9506D" w:rsidR="00153F2A" w:rsidRPr="0050462C" w:rsidRDefault="7916EF89" w:rsidP="7916EF89">
      <w:pPr>
        <w:jc w:val="both"/>
        <w:rPr>
          <w:rFonts w:asciiTheme="majorBidi" w:hAnsiTheme="majorBidi" w:cstheme="majorBidi"/>
        </w:rPr>
      </w:pPr>
      <w:r w:rsidRPr="7916EF89">
        <w:rPr>
          <w:rFonts w:asciiTheme="majorBidi" w:hAnsiTheme="majorBidi" w:cstheme="majorBidi"/>
        </w:rPr>
        <w:t xml:space="preserve">During the reporting period, In the south, particular attention was given to newly displaced families arriving from border areas and from shelters that were closing, as well as families facing difficulties accessing alternative accommodation. Saida Technical Institute increasingly functioned as a major collective shelter receiving families transferred from smaller or closing shelters. The shelter population fluctuated considerably during the month, reaching approximately 154 families/560 individuals at one point. </w:t>
      </w:r>
      <w:proofErr w:type="spellStart"/>
      <w:r w:rsidRPr="7916EF89">
        <w:rPr>
          <w:rFonts w:asciiTheme="majorBidi" w:hAnsiTheme="majorBidi" w:cstheme="majorBidi"/>
        </w:rPr>
        <w:t>Aankoun</w:t>
      </w:r>
      <w:proofErr w:type="spellEnd"/>
      <w:r w:rsidRPr="7916EF89">
        <w:rPr>
          <w:rFonts w:asciiTheme="majorBidi" w:hAnsiTheme="majorBidi" w:cstheme="majorBidi"/>
        </w:rPr>
        <w:t xml:space="preserve"> Secondary Public School also experienced an increase in population, reaching approximately 50 families/195 individuals, largely due to new displacement from areas affected by insecurity.</w:t>
      </w:r>
      <w:r w:rsidR="00D879CD">
        <w:rPr>
          <w:rFonts w:asciiTheme="majorBidi" w:hAnsiTheme="majorBidi" w:cstheme="majorBidi"/>
        </w:rPr>
        <w:t xml:space="preserve"> </w:t>
      </w:r>
    </w:p>
    <w:p w14:paraId="360170E4" w14:textId="77777777" w:rsidR="00153F2A" w:rsidRPr="0050462C" w:rsidRDefault="00153F2A" w:rsidP="0050462C">
      <w:pPr>
        <w:jc w:val="both"/>
        <w:rPr>
          <w:rFonts w:asciiTheme="majorBidi" w:hAnsiTheme="majorBidi" w:cstheme="majorBidi"/>
        </w:rPr>
      </w:pPr>
      <w:r w:rsidRPr="0050462C">
        <w:rPr>
          <w:rFonts w:asciiTheme="majorBidi" w:hAnsiTheme="majorBidi" w:cstheme="majorBidi"/>
        </w:rPr>
        <w:t>A major protection concern during July was uncertainty and anxiety related to shelter closures and relocation. The closure of Lebanese University – Faculty of Arts resulted in the gradual departure of families, many of whom had limited housing alternatives. Residents expressed concerns about unsuitable relocation options, high rental costs, destroyed homes, and the possibility of repeated displacement. By the end of the reporting period, the shelter had been fully vacated.</w:t>
      </w:r>
    </w:p>
    <w:p w14:paraId="7C2CD6FC" w14:textId="10E6DA3C" w:rsidR="0063190E" w:rsidRPr="0050462C" w:rsidRDefault="44A45529" w:rsidP="09400267">
      <w:pPr>
        <w:jc w:val="both"/>
        <w:rPr>
          <w:rFonts w:asciiTheme="majorBidi" w:hAnsiTheme="majorBidi" w:cstheme="majorBidi"/>
        </w:rPr>
      </w:pPr>
      <w:r w:rsidRPr="44A45529">
        <w:rPr>
          <w:rFonts w:asciiTheme="majorBidi" w:hAnsiTheme="majorBidi" w:cstheme="majorBidi"/>
        </w:rPr>
        <w:t xml:space="preserve">In the Bekaa, Oxfam’ protection activities were concentrated in the two remaining active collective shelters following the large-scale return of displaced households after the ceasefire. However, the households who remained displaced represented a particularly vulnerable group facing significant barriers to return, including insecurity, damaged homes, loss of livelihoods, and financial hardship. </w:t>
      </w:r>
    </w:p>
    <w:p w14:paraId="5F406CEB" w14:textId="5A714CBA" w:rsidR="0063190E" w:rsidRDefault="0063190E" w:rsidP="0050462C">
      <w:pPr>
        <w:jc w:val="both"/>
        <w:rPr>
          <w:rFonts w:asciiTheme="majorBidi" w:hAnsiTheme="majorBidi" w:cstheme="majorBidi"/>
        </w:rPr>
      </w:pPr>
      <w:r w:rsidRPr="0050462C">
        <w:rPr>
          <w:rFonts w:asciiTheme="majorBidi" w:hAnsiTheme="majorBidi" w:cstheme="majorBidi"/>
        </w:rPr>
        <w:t xml:space="preserve">Across both areas, the protection environment was increasingly shaped by structural vulnerabilities. Economic deterioration, limited livelihoods, inadequate shelter and WASH conditions, barriers to healthcare, and insufficient resources to secure alternative accommodation continued to prevent displacement-affected populations from achieving safe, dignified, and sustainable solutions. </w:t>
      </w:r>
    </w:p>
    <w:p w14:paraId="7E2DA8B7" w14:textId="77777777" w:rsidR="00592DF6" w:rsidRDefault="00592DF6" w:rsidP="0050462C">
      <w:pPr>
        <w:jc w:val="both"/>
        <w:rPr>
          <w:rFonts w:asciiTheme="majorBidi" w:hAnsiTheme="majorBidi" w:cstheme="majorBidi"/>
        </w:rPr>
      </w:pPr>
    </w:p>
    <w:p w14:paraId="187A06D8" w14:textId="77777777" w:rsidR="00592DF6" w:rsidRDefault="00592DF6" w:rsidP="0050462C">
      <w:pPr>
        <w:jc w:val="both"/>
        <w:rPr>
          <w:rFonts w:asciiTheme="majorBidi" w:hAnsiTheme="majorBidi" w:cstheme="majorBidi"/>
        </w:rPr>
      </w:pPr>
    </w:p>
    <w:p w14:paraId="735B9832" w14:textId="77777777" w:rsidR="00592DF6" w:rsidRPr="0050462C" w:rsidRDefault="00592DF6" w:rsidP="0050462C">
      <w:pPr>
        <w:jc w:val="both"/>
        <w:rPr>
          <w:rFonts w:asciiTheme="majorBidi" w:hAnsiTheme="majorBidi" w:cstheme="majorBidi"/>
        </w:rPr>
      </w:pPr>
    </w:p>
    <w:p w14:paraId="59A35D12" w14:textId="046CA20F" w:rsidR="0063190E" w:rsidRPr="0050462C" w:rsidRDefault="3F1FA75A" w:rsidP="3F1FA75A">
      <w:pPr>
        <w:pStyle w:val="Heading1"/>
        <w:pBdr>
          <w:bottom w:val="single" w:sz="8" w:space="6" w:color="3D6B2E"/>
        </w:pBdr>
        <w:spacing w:after="160" w:line="259" w:lineRule="auto"/>
      </w:pPr>
      <w:r>
        <w:lastRenderedPageBreak/>
        <w:t xml:space="preserve"> </w:t>
      </w:r>
      <w:r w:rsidRPr="00592DF6">
        <w:rPr>
          <w:rFonts w:ascii="Oxfam TSTAR PRO" w:eastAsia="Oxfam TSTAR PRO" w:hAnsi="Oxfam TSTAR PRO" w:cs="Oxfam TSTAR PRO"/>
          <w:b/>
          <w:bCs/>
          <w:color w:val="1F4E79"/>
          <w:sz w:val="28"/>
          <w:szCs w:val="28"/>
        </w:rPr>
        <w:t>4. KEY PROTECTION THREATS</w:t>
      </w:r>
    </w:p>
    <w:p w14:paraId="33F2FDB5" w14:textId="028913ED" w:rsidR="3F1FA75A" w:rsidRPr="00592DF6" w:rsidRDefault="3F1FA75A" w:rsidP="00592DF6"/>
    <w:p w14:paraId="0D110EE5" w14:textId="77777777" w:rsidR="0063190E" w:rsidRPr="0050462C" w:rsidRDefault="0063190E" w:rsidP="0050462C">
      <w:pPr>
        <w:pStyle w:val="Heading2"/>
        <w:spacing w:before="200" w:after="100" w:line="259" w:lineRule="auto"/>
        <w:jc w:val="both"/>
        <w:rPr>
          <w:rFonts w:asciiTheme="majorBidi" w:hAnsiTheme="majorBidi"/>
          <w:b/>
          <w:bCs/>
          <w:color w:val="00796B"/>
          <w:kern w:val="0"/>
          <w:sz w:val="26"/>
          <w:szCs w:val="26"/>
          <w14:ligatures w14:val="none"/>
        </w:rPr>
      </w:pPr>
      <w:r w:rsidRPr="0050462C">
        <w:rPr>
          <w:rFonts w:asciiTheme="majorBidi" w:hAnsiTheme="majorBidi"/>
          <w:b/>
          <w:bCs/>
          <w:color w:val="00796B"/>
          <w:kern w:val="0"/>
          <w:sz w:val="26"/>
          <w:szCs w:val="26"/>
          <w14:ligatures w14:val="none"/>
        </w:rPr>
        <w:t>4.1 Killing and Injury of Civilians</w:t>
      </w:r>
    </w:p>
    <w:p w14:paraId="627515DF" w14:textId="5B05DF33" w:rsidR="0063190E" w:rsidRPr="0050462C" w:rsidRDefault="4F23BEAF" w:rsidP="4F23BEAF">
      <w:pPr>
        <w:jc w:val="both"/>
        <w:rPr>
          <w:rFonts w:asciiTheme="majorBidi" w:hAnsiTheme="majorBidi" w:cstheme="majorBidi"/>
        </w:rPr>
      </w:pPr>
      <w:r w:rsidRPr="4F23BEAF">
        <w:rPr>
          <w:rFonts w:asciiTheme="majorBidi" w:hAnsiTheme="majorBidi" w:cstheme="majorBidi"/>
        </w:rPr>
        <w:t xml:space="preserve">Although protection monitoring activities did not systematically collect casualty data during the reporting period, ongoing insecurity, conflict-related destruction, and fear of renewed hostilities continued to influence household decision-making regarding return and relocation. Families remaining in collective shelters covered by Oxfam and who </w:t>
      </w:r>
      <w:proofErr w:type="gramStart"/>
      <w:r w:rsidRPr="4F23BEAF">
        <w:rPr>
          <w:rFonts w:asciiTheme="majorBidi" w:hAnsiTheme="majorBidi" w:cstheme="majorBidi"/>
        </w:rPr>
        <w:t>are originating</w:t>
      </w:r>
      <w:proofErr w:type="gramEnd"/>
      <w:r w:rsidRPr="4F23BEAF">
        <w:rPr>
          <w:rFonts w:asciiTheme="majorBidi" w:hAnsiTheme="majorBidi" w:cstheme="majorBidi"/>
        </w:rPr>
        <w:t xml:space="preserve"> from yellow line areas and surroundings frequently </w:t>
      </w:r>
      <w:proofErr w:type="gramStart"/>
      <w:r w:rsidRPr="4F23BEAF">
        <w:rPr>
          <w:rFonts w:asciiTheme="majorBidi" w:hAnsiTheme="majorBidi" w:cstheme="majorBidi"/>
        </w:rPr>
        <w:t>cited</w:t>
      </w:r>
      <w:proofErr w:type="gramEnd"/>
      <w:r w:rsidRPr="4F23BEAF">
        <w:rPr>
          <w:rFonts w:asciiTheme="majorBidi" w:hAnsiTheme="majorBidi" w:cstheme="majorBidi"/>
        </w:rPr>
        <w:t xml:space="preserve"> insecurity, damaged housing, and safety concerns as primary reasons for not returning and remaining in collective shelters. </w:t>
      </w:r>
    </w:p>
    <w:p w14:paraId="40D4EC12" w14:textId="77777777" w:rsidR="0063190E" w:rsidRPr="0050462C" w:rsidRDefault="0063190E" w:rsidP="0050462C">
      <w:pPr>
        <w:pStyle w:val="Heading2"/>
        <w:spacing w:before="200" w:after="100" w:line="259" w:lineRule="auto"/>
        <w:jc w:val="both"/>
        <w:rPr>
          <w:rFonts w:asciiTheme="majorBidi" w:hAnsiTheme="majorBidi"/>
          <w:b/>
          <w:bCs/>
          <w:color w:val="00796B"/>
          <w:kern w:val="0"/>
          <w:sz w:val="26"/>
          <w:szCs w:val="26"/>
          <w14:ligatures w14:val="none"/>
        </w:rPr>
      </w:pPr>
      <w:r w:rsidRPr="0050462C">
        <w:rPr>
          <w:rFonts w:asciiTheme="majorBidi" w:hAnsiTheme="majorBidi"/>
          <w:b/>
          <w:bCs/>
          <w:color w:val="00796B"/>
          <w:kern w:val="0"/>
          <w:sz w:val="26"/>
          <w:szCs w:val="26"/>
          <w14:ligatures w14:val="none"/>
        </w:rPr>
        <w:t>4.2 So-called Ceasefire, Return Pressures, Shelter Consolidation, and Unsafe Living Conditions Undermining Safety, Dignity, and Protection</w:t>
      </w:r>
    </w:p>
    <w:p w14:paraId="43714322" w14:textId="4A1A17C7" w:rsidR="0063190E" w:rsidRPr="0050462C" w:rsidRDefault="00707D88" w:rsidP="0050462C">
      <w:pPr>
        <w:jc w:val="both"/>
        <w:rPr>
          <w:rFonts w:asciiTheme="majorBidi" w:hAnsiTheme="majorBidi" w:cstheme="majorBidi"/>
        </w:rPr>
      </w:pPr>
      <w:r w:rsidRPr="0050462C">
        <w:rPr>
          <w:rFonts w:asciiTheme="majorBidi" w:hAnsiTheme="majorBidi" w:cstheme="majorBidi"/>
        </w:rPr>
        <w:t xml:space="preserve">Protection </w:t>
      </w:r>
      <w:r w:rsidR="0063190E" w:rsidRPr="0050462C">
        <w:rPr>
          <w:rFonts w:asciiTheme="majorBidi" w:hAnsiTheme="majorBidi" w:cstheme="majorBidi"/>
        </w:rPr>
        <w:t xml:space="preserve">Monitoring findings demonstrate that displacement remains heavily influenced by </w:t>
      </w:r>
      <w:r w:rsidRPr="0050462C">
        <w:rPr>
          <w:rFonts w:asciiTheme="majorBidi" w:hAnsiTheme="majorBidi" w:cstheme="majorBidi"/>
        </w:rPr>
        <w:t>security</w:t>
      </w:r>
      <w:r w:rsidR="0063190E" w:rsidRPr="0050462C">
        <w:rPr>
          <w:rFonts w:asciiTheme="majorBidi" w:hAnsiTheme="majorBidi" w:cstheme="majorBidi"/>
        </w:rPr>
        <w:t xml:space="preserve"> conditions</w:t>
      </w:r>
      <w:r w:rsidRPr="0050462C">
        <w:rPr>
          <w:rFonts w:asciiTheme="majorBidi" w:hAnsiTheme="majorBidi" w:cstheme="majorBidi"/>
        </w:rPr>
        <w:t xml:space="preserve"> in areas of origine</w:t>
      </w:r>
      <w:r w:rsidR="0063190E" w:rsidRPr="0050462C">
        <w:rPr>
          <w:rFonts w:asciiTheme="majorBidi" w:hAnsiTheme="majorBidi" w:cstheme="majorBidi"/>
        </w:rPr>
        <w:t xml:space="preserve">. Many households reported that their homes had been destroyed or severely damaged and that conditions for safe, voluntary, informed, and dignified return had not yet been achieved. </w:t>
      </w:r>
    </w:p>
    <w:p w14:paraId="6B294BF6" w14:textId="56A7F68B" w:rsidR="0063190E" w:rsidRPr="0050462C" w:rsidRDefault="0063190E" w:rsidP="0050462C">
      <w:pPr>
        <w:jc w:val="both"/>
        <w:rPr>
          <w:rFonts w:asciiTheme="majorBidi" w:hAnsiTheme="majorBidi" w:cstheme="majorBidi"/>
        </w:rPr>
      </w:pPr>
      <w:r w:rsidRPr="0050462C">
        <w:rPr>
          <w:rFonts w:asciiTheme="majorBidi" w:hAnsiTheme="majorBidi" w:cstheme="majorBidi"/>
        </w:rPr>
        <w:t xml:space="preserve">Shelter closure and relocation processes emerged as significant protection concerns. Families affected by shelter consolidation reported anxiety regarding </w:t>
      </w:r>
      <w:r w:rsidR="00707D88" w:rsidRPr="0050462C">
        <w:rPr>
          <w:rFonts w:asciiTheme="majorBidi" w:hAnsiTheme="majorBidi" w:cstheme="majorBidi"/>
        </w:rPr>
        <w:t xml:space="preserve">alternative </w:t>
      </w:r>
      <w:r w:rsidRPr="0050462C">
        <w:rPr>
          <w:rFonts w:asciiTheme="majorBidi" w:hAnsiTheme="majorBidi" w:cstheme="majorBidi"/>
        </w:rPr>
        <w:t xml:space="preserve">accommodation options, reduced privacy, and uncertainty over continued access to humanitarian assistance. </w:t>
      </w:r>
    </w:p>
    <w:p w14:paraId="2A5409B0" w14:textId="7438D438" w:rsidR="0063190E" w:rsidRPr="0050462C" w:rsidRDefault="0063190E" w:rsidP="0050462C">
      <w:pPr>
        <w:jc w:val="both"/>
        <w:rPr>
          <w:rFonts w:asciiTheme="majorBidi" w:hAnsiTheme="majorBidi" w:cstheme="majorBidi"/>
        </w:rPr>
      </w:pPr>
      <w:r w:rsidRPr="0050462C">
        <w:rPr>
          <w:rFonts w:asciiTheme="majorBidi" w:hAnsiTheme="majorBidi" w:cstheme="majorBidi"/>
        </w:rPr>
        <w:t xml:space="preserve">Unsafe shelter conditions further undermined dignity and protection. In South Lebanon, overcrowding increased in sites receiving relocated families. In the Bekaa, privacy concerns, inadequate infrastructure, and deteriorated living conditions persisted, particularly in Tell </w:t>
      </w:r>
      <w:proofErr w:type="spellStart"/>
      <w:r w:rsidRPr="0050462C">
        <w:rPr>
          <w:rFonts w:asciiTheme="majorBidi" w:hAnsiTheme="majorBidi" w:cstheme="majorBidi"/>
        </w:rPr>
        <w:t>Dnoub</w:t>
      </w:r>
      <w:proofErr w:type="spellEnd"/>
      <w:r w:rsidRPr="0050462C">
        <w:rPr>
          <w:rFonts w:asciiTheme="majorBidi" w:hAnsiTheme="majorBidi" w:cstheme="majorBidi"/>
        </w:rPr>
        <w:t xml:space="preserve"> Public Intermediate School and Al Khansa Building</w:t>
      </w:r>
      <w:r w:rsidR="0050462C" w:rsidRPr="0050462C">
        <w:rPr>
          <w:rFonts w:asciiTheme="majorBidi" w:hAnsiTheme="majorBidi" w:cstheme="majorBidi"/>
        </w:rPr>
        <w:t xml:space="preserve"> where Oxfam is the main protection actor as per the protection sector </w:t>
      </w:r>
      <w:proofErr w:type="spellStart"/>
      <w:r w:rsidR="0050462C" w:rsidRPr="0050462C">
        <w:rPr>
          <w:rFonts w:asciiTheme="majorBidi" w:hAnsiTheme="majorBidi" w:cstheme="majorBidi"/>
        </w:rPr>
        <w:t>geosplit</w:t>
      </w:r>
      <w:proofErr w:type="spellEnd"/>
      <w:r w:rsidRPr="0050462C">
        <w:rPr>
          <w:rFonts w:asciiTheme="majorBidi" w:hAnsiTheme="majorBidi" w:cstheme="majorBidi"/>
        </w:rPr>
        <w:t xml:space="preserve">. </w:t>
      </w:r>
    </w:p>
    <w:p w14:paraId="75047F5F" w14:textId="77777777" w:rsidR="0063190E" w:rsidRPr="0050462C" w:rsidRDefault="0063190E" w:rsidP="0050462C">
      <w:pPr>
        <w:jc w:val="both"/>
        <w:rPr>
          <w:rFonts w:asciiTheme="majorBidi" w:eastAsiaTheme="majorEastAsia" w:hAnsiTheme="majorBidi" w:cstheme="majorBidi"/>
          <w:b/>
          <w:bCs/>
          <w:color w:val="00796B"/>
          <w:kern w:val="0"/>
          <w:sz w:val="26"/>
          <w:szCs w:val="26"/>
          <w14:ligatures w14:val="none"/>
        </w:rPr>
      </w:pPr>
      <w:r w:rsidRPr="0050462C">
        <w:rPr>
          <w:rFonts w:asciiTheme="majorBidi" w:eastAsiaTheme="majorEastAsia" w:hAnsiTheme="majorBidi" w:cstheme="majorBidi"/>
          <w:b/>
          <w:bCs/>
          <w:color w:val="00796B"/>
          <w:kern w:val="0"/>
          <w:sz w:val="26"/>
          <w:szCs w:val="26"/>
          <w14:ligatures w14:val="none"/>
        </w:rPr>
        <w:t>4.3 Gender-Based Violence</w:t>
      </w:r>
    </w:p>
    <w:p w14:paraId="489768EE" w14:textId="76A69D88" w:rsidR="0063190E" w:rsidRPr="0050462C" w:rsidRDefault="0063190E" w:rsidP="0050462C">
      <w:pPr>
        <w:jc w:val="both"/>
        <w:rPr>
          <w:rFonts w:asciiTheme="majorBidi" w:hAnsiTheme="majorBidi" w:cstheme="majorBidi"/>
        </w:rPr>
      </w:pPr>
      <w:r w:rsidRPr="0050462C">
        <w:rPr>
          <w:rFonts w:asciiTheme="majorBidi" w:hAnsiTheme="majorBidi" w:cstheme="majorBidi"/>
        </w:rPr>
        <w:t xml:space="preserve">The protection implications of shelter and WASH </w:t>
      </w:r>
      <w:r w:rsidR="00707D88" w:rsidRPr="0050462C">
        <w:rPr>
          <w:rFonts w:asciiTheme="majorBidi" w:hAnsiTheme="majorBidi" w:cstheme="majorBidi"/>
        </w:rPr>
        <w:t>limited services</w:t>
      </w:r>
      <w:r w:rsidRPr="0050462C">
        <w:rPr>
          <w:rFonts w:asciiTheme="majorBidi" w:hAnsiTheme="majorBidi" w:cstheme="majorBidi"/>
        </w:rPr>
        <w:t xml:space="preserve"> continued to disproportionately affect women and girls. Limited privacy, shared accommodation arrangements, inadequate sanitation conditions, and insufficient infrastructure increased concerns regarding dignity, safety, and exposure to protection risks. Women additionally faced increased caregiving burdens linked to inadequate services and deteriorating living conditions. </w:t>
      </w:r>
    </w:p>
    <w:p w14:paraId="73A15164" w14:textId="7A0FEA59" w:rsidR="0063190E" w:rsidRDefault="0063190E" w:rsidP="0050462C">
      <w:pPr>
        <w:jc w:val="both"/>
        <w:rPr>
          <w:rFonts w:asciiTheme="majorBidi" w:hAnsiTheme="majorBidi" w:cstheme="majorBidi"/>
        </w:rPr>
      </w:pPr>
      <w:r w:rsidRPr="0050462C">
        <w:rPr>
          <w:rFonts w:asciiTheme="majorBidi" w:hAnsiTheme="majorBidi" w:cstheme="majorBidi"/>
        </w:rPr>
        <w:t xml:space="preserve">Women experiencing pregnancy, disability, chronic illness, or </w:t>
      </w:r>
      <w:r w:rsidR="0050462C" w:rsidRPr="0050462C">
        <w:rPr>
          <w:rFonts w:asciiTheme="majorBidi" w:hAnsiTheme="majorBidi" w:cstheme="majorBidi"/>
        </w:rPr>
        <w:t>women</w:t>
      </w:r>
      <w:r w:rsidRPr="0050462C">
        <w:rPr>
          <w:rFonts w:asciiTheme="majorBidi" w:hAnsiTheme="majorBidi" w:cstheme="majorBidi"/>
        </w:rPr>
        <w:t xml:space="preserve">-headed household responsibilities often faced compounded vulnerabilities associated with displacement, economic hardship, and uncertainty regarding accommodation. </w:t>
      </w:r>
    </w:p>
    <w:p w14:paraId="78A147EE" w14:textId="77777777" w:rsidR="00E44DC9" w:rsidRPr="0050462C" w:rsidRDefault="00E44DC9" w:rsidP="0050462C">
      <w:pPr>
        <w:jc w:val="both"/>
        <w:rPr>
          <w:rFonts w:asciiTheme="majorBidi" w:hAnsiTheme="majorBidi" w:cstheme="majorBidi"/>
        </w:rPr>
      </w:pPr>
    </w:p>
    <w:p w14:paraId="0EBC6EDB" w14:textId="77777777" w:rsidR="0063190E" w:rsidRPr="0050462C" w:rsidRDefault="0063190E" w:rsidP="0050462C">
      <w:pPr>
        <w:jc w:val="both"/>
        <w:rPr>
          <w:rFonts w:asciiTheme="majorBidi" w:eastAsiaTheme="majorEastAsia" w:hAnsiTheme="majorBidi" w:cstheme="majorBidi"/>
          <w:b/>
          <w:bCs/>
          <w:color w:val="00796B"/>
          <w:kern w:val="0"/>
          <w:sz w:val="26"/>
          <w:szCs w:val="26"/>
          <w14:ligatures w14:val="none"/>
        </w:rPr>
      </w:pPr>
      <w:r w:rsidRPr="0050462C">
        <w:rPr>
          <w:rFonts w:asciiTheme="majorBidi" w:eastAsiaTheme="majorEastAsia" w:hAnsiTheme="majorBidi" w:cstheme="majorBidi"/>
          <w:b/>
          <w:bCs/>
          <w:color w:val="00796B"/>
          <w:kern w:val="0"/>
          <w:sz w:val="26"/>
          <w:szCs w:val="26"/>
          <w14:ligatures w14:val="none"/>
        </w:rPr>
        <w:lastRenderedPageBreak/>
        <w:t>4.4 Documentation and Legal Identity Barriers</w:t>
      </w:r>
    </w:p>
    <w:p w14:paraId="6DF56F0B" w14:textId="0F555BBE" w:rsidR="0063190E" w:rsidRPr="0050462C" w:rsidRDefault="0063190E" w:rsidP="0050462C">
      <w:pPr>
        <w:jc w:val="both"/>
        <w:rPr>
          <w:rFonts w:asciiTheme="majorBidi" w:hAnsiTheme="majorBidi" w:cstheme="majorBidi"/>
        </w:rPr>
      </w:pPr>
      <w:r w:rsidRPr="0050462C">
        <w:rPr>
          <w:rFonts w:asciiTheme="majorBidi" w:hAnsiTheme="majorBidi" w:cstheme="majorBidi"/>
        </w:rPr>
        <w:t xml:space="preserve">While documentation concerns were less prominent than in June, protection monitoring continued identifying households requiring access to legal information, specialized support, and referrals. Continued </w:t>
      </w:r>
      <w:r w:rsidR="00707D88" w:rsidRPr="0050462C">
        <w:rPr>
          <w:rFonts w:asciiTheme="majorBidi" w:hAnsiTheme="majorBidi" w:cstheme="majorBidi"/>
        </w:rPr>
        <w:t xml:space="preserve">close </w:t>
      </w:r>
      <w:r w:rsidRPr="0050462C">
        <w:rPr>
          <w:rFonts w:asciiTheme="majorBidi" w:hAnsiTheme="majorBidi" w:cstheme="majorBidi"/>
        </w:rPr>
        <w:t xml:space="preserve">monitoring remains necessary to identify undocumented individuals, households experiencing legal obstacles, and populations facing exclusion from services due to documentation-related barriers. </w:t>
      </w:r>
    </w:p>
    <w:p w14:paraId="7BB1EEA1" w14:textId="77777777" w:rsidR="0063190E" w:rsidRPr="0050462C" w:rsidRDefault="0063190E" w:rsidP="0050462C">
      <w:pPr>
        <w:jc w:val="both"/>
        <w:rPr>
          <w:rFonts w:asciiTheme="majorBidi" w:eastAsiaTheme="majorEastAsia" w:hAnsiTheme="majorBidi" w:cstheme="majorBidi"/>
          <w:b/>
          <w:bCs/>
          <w:color w:val="00796B"/>
          <w:kern w:val="0"/>
          <w:sz w:val="26"/>
          <w:szCs w:val="26"/>
          <w14:ligatures w14:val="none"/>
        </w:rPr>
      </w:pPr>
      <w:r w:rsidRPr="0050462C">
        <w:rPr>
          <w:rFonts w:asciiTheme="majorBidi" w:eastAsiaTheme="majorEastAsia" w:hAnsiTheme="majorBidi" w:cstheme="majorBidi"/>
          <w:b/>
          <w:bCs/>
          <w:color w:val="00796B"/>
          <w:kern w:val="0"/>
          <w:sz w:val="26"/>
          <w:szCs w:val="26"/>
          <w14:ligatures w14:val="none"/>
        </w:rPr>
        <w:t>4.5 Child Protection Risks</w:t>
      </w:r>
    </w:p>
    <w:p w14:paraId="68EB62F2" w14:textId="5848A5E2" w:rsidR="1D28DC08" w:rsidRDefault="1D28DC08" w:rsidP="1D28DC08">
      <w:pPr>
        <w:spacing w:after="0" w:line="300" w:lineRule="auto"/>
        <w:jc w:val="both"/>
        <w:rPr>
          <w:rFonts w:asciiTheme="majorBidi" w:hAnsiTheme="majorBidi" w:cstheme="majorBidi"/>
        </w:rPr>
      </w:pPr>
      <w:r w:rsidRPr="1D28DC08">
        <w:rPr>
          <w:rFonts w:asciiTheme="majorBidi" w:hAnsiTheme="majorBidi" w:cstheme="majorBidi"/>
        </w:rPr>
        <w:t xml:space="preserve">Child protection concerns remained present throughout the reporting period. Protection teams identified cases requiring referral and follow-up, </w:t>
      </w:r>
      <w:r w:rsidRPr="1D28DC08">
        <w:rPr>
          <w:rFonts w:asciiTheme="majorBidi" w:eastAsiaTheme="minorEastAsia" w:hAnsiTheme="majorBidi" w:cstheme="majorBidi"/>
        </w:rPr>
        <w:t>including instances where inadequate childcare arrangements increased children's exposure to protection risks when mothers were compelled to seek employment opportunities outside the shelter.</w:t>
      </w:r>
    </w:p>
    <w:p w14:paraId="63DE52D0" w14:textId="27EEEAA9" w:rsidR="1D28DC08" w:rsidRDefault="1D28DC08" w:rsidP="1D28DC08">
      <w:pPr>
        <w:spacing w:after="0" w:line="300" w:lineRule="auto"/>
        <w:jc w:val="both"/>
        <w:rPr>
          <w:rFonts w:asciiTheme="majorBidi" w:eastAsiaTheme="minorEastAsia" w:hAnsiTheme="majorBidi" w:cstheme="majorBidi"/>
        </w:rPr>
      </w:pPr>
    </w:p>
    <w:p w14:paraId="640BF29A" w14:textId="27A87927" w:rsidR="783726C1" w:rsidRDefault="1F43BD99" w:rsidP="1F43BD99">
      <w:pPr>
        <w:jc w:val="both"/>
        <w:rPr>
          <w:rFonts w:ascii="Times New Roman" w:eastAsia="Aptos" w:hAnsi="Times New Roman" w:cs="Times New Roman"/>
        </w:rPr>
      </w:pPr>
      <w:r w:rsidRPr="1F43BD99">
        <w:rPr>
          <w:rFonts w:asciiTheme="majorBidi" w:hAnsiTheme="majorBidi" w:cstheme="majorBidi"/>
        </w:rPr>
        <w:t xml:space="preserve">Children also continued to experience psychological distress associated with prolonged displacement, uncertainty, and instability. Families highlighted the importance of recreational, educational, and psychosocial activities in supporting children's well-being and reducing protection risks, </w:t>
      </w:r>
      <w:r w:rsidRPr="1F43BD99">
        <w:rPr>
          <w:rFonts w:ascii="Times New Roman" w:eastAsia="Aptos" w:hAnsi="Times New Roman" w:cs="Times New Roman"/>
        </w:rPr>
        <w:t>particularly given the absence of child protection actors in the collective shelters where Oxfam operates.</w:t>
      </w:r>
    </w:p>
    <w:p w14:paraId="1FE778BC" w14:textId="11FAB965" w:rsidR="0063190E" w:rsidRPr="0050462C" w:rsidRDefault="1F43BD99" w:rsidP="1F43BD99">
      <w:pPr>
        <w:jc w:val="both"/>
        <w:rPr>
          <w:rFonts w:asciiTheme="majorBidi" w:hAnsiTheme="majorBidi" w:cstheme="majorBidi"/>
        </w:rPr>
      </w:pPr>
      <w:r w:rsidRPr="1F43BD99">
        <w:rPr>
          <w:rFonts w:asciiTheme="majorBidi" w:hAnsiTheme="majorBidi" w:cstheme="majorBidi"/>
        </w:rPr>
        <w:t xml:space="preserve">In the Bekaa, financial hardship and ongoing displacement compounded child well-being concerns, while persistent barriers to meeting household needs increased pressure on families already experiencing significant socio-economic vulnerability. </w:t>
      </w:r>
    </w:p>
    <w:p w14:paraId="0E0F917A" w14:textId="77777777" w:rsidR="0063190E" w:rsidRPr="0050462C" w:rsidRDefault="0063190E" w:rsidP="0050462C">
      <w:pPr>
        <w:jc w:val="both"/>
        <w:rPr>
          <w:rFonts w:asciiTheme="majorBidi" w:eastAsiaTheme="majorEastAsia" w:hAnsiTheme="majorBidi" w:cstheme="majorBidi"/>
          <w:b/>
          <w:bCs/>
          <w:color w:val="00796B"/>
          <w:kern w:val="0"/>
          <w:sz w:val="26"/>
          <w:szCs w:val="26"/>
          <w14:ligatures w14:val="none"/>
        </w:rPr>
      </w:pPr>
      <w:r w:rsidRPr="0050462C">
        <w:rPr>
          <w:rFonts w:asciiTheme="majorBidi" w:eastAsiaTheme="majorEastAsia" w:hAnsiTheme="majorBidi" w:cstheme="majorBidi"/>
          <w:b/>
          <w:bCs/>
          <w:color w:val="00796B"/>
          <w:kern w:val="0"/>
          <w:sz w:val="26"/>
          <w:szCs w:val="26"/>
          <w14:ligatures w14:val="none"/>
        </w:rPr>
        <w:t>4.6 Denial and Limited Access to Essential Services</w:t>
      </w:r>
    </w:p>
    <w:p w14:paraId="064CAC3F" w14:textId="4AE37BC0" w:rsidR="0063190E" w:rsidRPr="0050462C" w:rsidRDefault="1F43BD99" w:rsidP="1F43BD99">
      <w:pPr>
        <w:jc w:val="both"/>
        <w:rPr>
          <w:rFonts w:asciiTheme="majorBidi" w:hAnsiTheme="majorBidi" w:cstheme="majorBidi"/>
        </w:rPr>
      </w:pPr>
      <w:r w:rsidRPr="1F43BD99">
        <w:rPr>
          <w:rFonts w:asciiTheme="majorBidi" w:hAnsiTheme="majorBidi" w:cstheme="majorBidi"/>
        </w:rPr>
        <w:t xml:space="preserve">Access to essential services remained one of the most significant concerns across both operational areas. Households consistently reported challenges accessing adequate food, healthcare, safe water, hygiene materials, and other basic services. </w:t>
      </w:r>
    </w:p>
    <w:p w14:paraId="4678A5D5" w14:textId="2B751C36" w:rsidR="0063190E" w:rsidRPr="0050462C" w:rsidRDefault="1F43BD99" w:rsidP="1F43BD99">
      <w:pPr>
        <w:jc w:val="both"/>
        <w:rPr>
          <w:rFonts w:asciiTheme="majorBidi" w:hAnsiTheme="majorBidi" w:cstheme="majorBidi"/>
        </w:rPr>
      </w:pPr>
      <w:r w:rsidRPr="1F43BD99">
        <w:rPr>
          <w:rFonts w:asciiTheme="majorBidi" w:hAnsiTheme="majorBidi" w:cstheme="majorBidi"/>
        </w:rPr>
        <w:t xml:space="preserve">In the Bekaa, severe economic hardship limited households’ ability to purchase food, medications, transportation, and essential household items, driving reliance on humanitarian assistance and increasingly harmful coping mechanisms. Families reported borrowing money, selling assets, limiting expenditures, postponing treatment, and reducing household consumption. </w:t>
      </w:r>
    </w:p>
    <w:p w14:paraId="1D7EB805" w14:textId="6F6C6A8E" w:rsidR="0063190E" w:rsidRPr="0050462C" w:rsidRDefault="0063190E" w:rsidP="0050462C">
      <w:pPr>
        <w:jc w:val="both"/>
        <w:rPr>
          <w:rFonts w:asciiTheme="majorBidi" w:hAnsiTheme="majorBidi" w:cstheme="majorBidi"/>
        </w:rPr>
      </w:pPr>
      <w:r w:rsidRPr="0050462C">
        <w:rPr>
          <w:rFonts w:asciiTheme="majorBidi" w:hAnsiTheme="majorBidi" w:cstheme="majorBidi"/>
        </w:rPr>
        <w:t xml:space="preserve">Persistent WASH </w:t>
      </w:r>
      <w:r w:rsidR="00366632" w:rsidRPr="0050462C">
        <w:rPr>
          <w:rFonts w:asciiTheme="majorBidi" w:hAnsiTheme="majorBidi" w:cstheme="majorBidi"/>
        </w:rPr>
        <w:t>services gaps</w:t>
      </w:r>
      <w:r w:rsidRPr="0050462C">
        <w:rPr>
          <w:rFonts w:asciiTheme="majorBidi" w:hAnsiTheme="majorBidi" w:cstheme="majorBidi"/>
        </w:rPr>
        <w:t xml:space="preserve"> remained a major concern. Water shortages, inadequate sanitation facilities, privacy concerns, and deteriorating infrastructure negatively affected safety, dignity, health, and social cohesion. </w:t>
      </w:r>
    </w:p>
    <w:p w14:paraId="216650EA" w14:textId="47D10D98" w:rsidR="0063190E" w:rsidRDefault="0063190E" w:rsidP="0050462C">
      <w:pPr>
        <w:jc w:val="both"/>
        <w:rPr>
          <w:rFonts w:asciiTheme="majorBidi" w:eastAsiaTheme="majorEastAsia" w:hAnsiTheme="majorBidi" w:cstheme="majorBidi"/>
          <w:b/>
          <w:bCs/>
          <w:color w:val="00796B"/>
          <w:kern w:val="0"/>
          <w:sz w:val="26"/>
          <w:szCs w:val="26"/>
          <w14:ligatures w14:val="none"/>
        </w:rPr>
      </w:pPr>
      <w:r w:rsidRPr="0050462C">
        <w:rPr>
          <w:rFonts w:asciiTheme="majorBidi" w:hAnsiTheme="majorBidi" w:cstheme="majorBidi"/>
        </w:rPr>
        <w:t>Financial barriers also continued restricting access to healthcare, disproportionately affecting children with disabilities, persons with chronic illnesses, older persons, pregnant women, and individuals requiring specialized medical services.</w:t>
      </w:r>
      <w:r w:rsidRPr="0050462C">
        <w:rPr>
          <w:rFonts w:asciiTheme="majorBidi" w:eastAsiaTheme="majorEastAsia" w:hAnsiTheme="majorBidi" w:cstheme="majorBidi"/>
          <w:b/>
          <w:bCs/>
          <w:color w:val="00796B"/>
          <w:kern w:val="0"/>
          <w:sz w:val="26"/>
          <w:szCs w:val="26"/>
          <w14:ligatures w14:val="none"/>
        </w:rPr>
        <w:t xml:space="preserve"> </w:t>
      </w:r>
    </w:p>
    <w:p w14:paraId="332D293C" w14:textId="77777777" w:rsidR="00592DF6" w:rsidRPr="0050462C" w:rsidRDefault="00592DF6" w:rsidP="0050462C">
      <w:pPr>
        <w:jc w:val="both"/>
        <w:rPr>
          <w:rFonts w:asciiTheme="majorBidi" w:eastAsiaTheme="majorEastAsia" w:hAnsiTheme="majorBidi" w:cstheme="majorBidi"/>
          <w:b/>
          <w:bCs/>
          <w:color w:val="00796B"/>
          <w:kern w:val="0"/>
          <w:sz w:val="26"/>
          <w:szCs w:val="26"/>
          <w14:ligatures w14:val="none"/>
        </w:rPr>
      </w:pPr>
    </w:p>
    <w:p w14:paraId="6D3AE437" w14:textId="77777777" w:rsidR="0063190E" w:rsidRPr="0050462C" w:rsidRDefault="0063190E" w:rsidP="0050462C">
      <w:pPr>
        <w:jc w:val="both"/>
        <w:rPr>
          <w:rFonts w:asciiTheme="majorBidi" w:eastAsiaTheme="majorEastAsia" w:hAnsiTheme="majorBidi" w:cstheme="majorBidi"/>
          <w:b/>
          <w:bCs/>
          <w:color w:val="00796B"/>
          <w:kern w:val="0"/>
          <w:sz w:val="26"/>
          <w:szCs w:val="26"/>
          <w14:ligatures w14:val="none"/>
        </w:rPr>
      </w:pPr>
      <w:r w:rsidRPr="0050462C">
        <w:rPr>
          <w:rFonts w:asciiTheme="majorBidi" w:eastAsiaTheme="majorEastAsia" w:hAnsiTheme="majorBidi" w:cstheme="majorBidi"/>
          <w:b/>
          <w:bCs/>
          <w:color w:val="00796B"/>
          <w:kern w:val="0"/>
          <w:sz w:val="26"/>
          <w:szCs w:val="26"/>
          <w14:ligatures w14:val="none"/>
        </w:rPr>
        <w:t>4.7 Weak Accountability, Limited Participation, and Declining Trust in Response Systems</w:t>
      </w:r>
    </w:p>
    <w:p w14:paraId="07520F90" w14:textId="2F9C0167" w:rsidR="0063190E" w:rsidRPr="0050462C" w:rsidRDefault="0063190E" w:rsidP="0050462C">
      <w:pPr>
        <w:jc w:val="both"/>
        <w:rPr>
          <w:rFonts w:asciiTheme="majorBidi" w:hAnsiTheme="majorBidi" w:cstheme="majorBidi"/>
        </w:rPr>
      </w:pPr>
      <w:r w:rsidRPr="0050462C">
        <w:rPr>
          <w:rFonts w:asciiTheme="majorBidi" w:hAnsiTheme="majorBidi" w:cstheme="majorBidi"/>
        </w:rPr>
        <w:t xml:space="preserve">Accountability concerns remained a recurring theme. Households reported concerns regarding transparency, fairness, and communication surrounding assistance distribution. Allegations of unequal assistance distribution and concerns regarding distribution practices contributed to frustration and mistrust among some shelter residents. </w:t>
      </w:r>
    </w:p>
    <w:p w14:paraId="722BCB45" w14:textId="1B27255C" w:rsidR="0063190E" w:rsidRPr="0050462C" w:rsidRDefault="0063190E" w:rsidP="0050462C">
      <w:pPr>
        <w:jc w:val="both"/>
        <w:rPr>
          <w:rFonts w:asciiTheme="majorBidi" w:hAnsiTheme="majorBidi" w:cstheme="majorBidi"/>
        </w:rPr>
      </w:pPr>
      <w:r w:rsidRPr="0050462C">
        <w:rPr>
          <w:rFonts w:asciiTheme="majorBidi" w:hAnsiTheme="majorBidi" w:cstheme="majorBidi"/>
        </w:rPr>
        <w:t xml:space="preserve">In both regions, respondents emphasized the importance of transparent communication, effective complaint mechanisms, participation in decision-making processes, and timely feedback regarding services and assistance. Delayed responses to reported concerns further contributed to declining confidence among affected populations. </w:t>
      </w:r>
    </w:p>
    <w:p w14:paraId="15220C9B" w14:textId="77777777" w:rsidR="0063190E" w:rsidRPr="0050462C" w:rsidRDefault="0063190E" w:rsidP="0050462C">
      <w:pPr>
        <w:jc w:val="both"/>
        <w:rPr>
          <w:rFonts w:asciiTheme="majorBidi" w:eastAsiaTheme="majorEastAsia" w:hAnsiTheme="majorBidi" w:cstheme="majorBidi"/>
          <w:b/>
          <w:bCs/>
          <w:color w:val="00796B"/>
          <w:kern w:val="0"/>
          <w:sz w:val="26"/>
          <w:szCs w:val="26"/>
          <w14:ligatures w14:val="none"/>
        </w:rPr>
      </w:pPr>
      <w:r w:rsidRPr="0050462C">
        <w:rPr>
          <w:rFonts w:asciiTheme="majorBidi" w:eastAsiaTheme="majorEastAsia" w:hAnsiTheme="majorBidi" w:cstheme="majorBidi"/>
          <w:b/>
          <w:bCs/>
          <w:color w:val="00796B"/>
          <w:kern w:val="0"/>
          <w:sz w:val="26"/>
          <w:szCs w:val="26"/>
          <w14:ligatures w14:val="none"/>
        </w:rPr>
        <w:t>4.8 Community Tensions and Erosion of Social Cohesion</w:t>
      </w:r>
    </w:p>
    <w:p w14:paraId="564A5792" w14:textId="315098BD" w:rsidR="0063190E" w:rsidRPr="0050462C" w:rsidRDefault="1F43BD99" w:rsidP="1F43BD99">
      <w:pPr>
        <w:jc w:val="both"/>
        <w:rPr>
          <w:rFonts w:asciiTheme="majorBidi" w:hAnsiTheme="majorBidi" w:cstheme="majorBidi"/>
        </w:rPr>
      </w:pPr>
      <w:r w:rsidRPr="1F43BD99">
        <w:rPr>
          <w:rFonts w:asciiTheme="majorBidi" w:hAnsiTheme="majorBidi" w:cstheme="majorBidi"/>
        </w:rPr>
        <w:t xml:space="preserve">Community tensions continued to emerge in contexts characterized by resource </w:t>
      </w:r>
      <w:proofErr w:type="gramStart"/>
      <w:r w:rsidRPr="1F43BD99">
        <w:rPr>
          <w:rFonts w:asciiTheme="majorBidi" w:hAnsiTheme="majorBidi" w:cstheme="majorBidi"/>
        </w:rPr>
        <w:t>limitations,  assistance</w:t>
      </w:r>
      <w:proofErr w:type="gramEnd"/>
      <w:r w:rsidRPr="1F43BD99">
        <w:rPr>
          <w:rFonts w:asciiTheme="majorBidi" w:hAnsiTheme="majorBidi" w:cstheme="majorBidi"/>
        </w:rPr>
        <w:t xml:space="preserve">-related concerns, and deteriorating living conditions. In South Lebanon, disputes linked to assistance distribution required mediation and coordination between municipalities, shelter management, and humanitarian actors. </w:t>
      </w:r>
    </w:p>
    <w:p w14:paraId="7D0E5DE4" w14:textId="2EC53FC6" w:rsidR="0063190E" w:rsidRPr="0050462C" w:rsidRDefault="3F1FA75A" w:rsidP="1F43BD99">
      <w:pPr>
        <w:jc w:val="both"/>
        <w:rPr>
          <w:rFonts w:asciiTheme="majorBidi" w:hAnsiTheme="majorBidi" w:cstheme="majorBidi"/>
        </w:rPr>
      </w:pPr>
      <w:r w:rsidRPr="3F1FA75A">
        <w:rPr>
          <w:rFonts w:asciiTheme="majorBidi" w:hAnsiTheme="majorBidi" w:cstheme="majorBidi"/>
        </w:rPr>
        <w:t xml:space="preserve">In the Bekaa, water shortages contributed to disputes among households residing in collective shelters concerning resource allocation and cost-sharing arrangements. These findings illustrate how unmet needs and service deficiencies can undermine social cohesion and increase tensions within displaced communities. </w:t>
      </w:r>
    </w:p>
    <w:p w14:paraId="4DAC3D8F" w14:textId="57B823C6" w:rsidR="0063190E" w:rsidRPr="0050462C" w:rsidRDefault="00592DF6" w:rsidP="00592DF6">
      <w:pPr>
        <w:pStyle w:val="Heading1"/>
        <w:pBdr>
          <w:bottom w:val="single" w:sz="8" w:space="6" w:color="3D6B2E"/>
        </w:pBdr>
        <w:spacing w:after="160" w:line="259" w:lineRule="auto"/>
      </w:pPr>
      <w:r>
        <w:rPr>
          <w:rFonts w:ascii="Oxfam TSTAR PRO" w:eastAsia="Oxfam TSTAR PRO" w:hAnsi="Oxfam TSTAR PRO" w:cs="Oxfam TSTAR PRO"/>
          <w:b/>
          <w:bCs/>
          <w:color w:val="1F4E79"/>
          <w:sz w:val="28"/>
          <w:szCs w:val="28"/>
        </w:rPr>
        <w:t>5</w:t>
      </w:r>
      <w:r w:rsidRPr="00592DF6">
        <w:rPr>
          <w:rFonts w:ascii="Oxfam TSTAR PRO" w:eastAsia="Oxfam TSTAR PRO" w:hAnsi="Oxfam TSTAR PRO" w:cs="Oxfam TSTAR PRO"/>
          <w:b/>
          <w:bCs/>
          <w:color w:val="1F4E79"/>
          <w:sz w:val="28"/>
          <w:szCs w:val="28"/>
        </w:rPr>
        <w:t xml:space="preserve">. </w:t>
      </w:r>
      <w:r>
        <w:rPr>
          <w:rFonts w:ascii="Oxfam TSTAR PRO" w:eastAsia="Oxfam TSTAR PRO" w:hAnsi="Oxfam TSTAR PRO" w:cs="Oxfam TSTAR PRO"/>
          <w:b/>
          <w:bCs/>
          <w:color w:val="1F4E79"/>
          <w:sz w:val="28"/>
          <w:szCs w:val="28"/>
        </w:rPr>
        <w:t xml:space="preserve">Positive Developments and Protective Factors </w:t>
      </w:r>
    </w:p>
    <w:p w14:paraId="2101C505" w14:textId="6FF358CA" w:rsidR="0063190E" w:rsidRPr="00592DF6" w:rsidRDefault="0063190E" w:rsidP="00592DF6"/>
    <w:p w14:paraId="2ACA59E9" w14:textId="72483DA2" w:rsidR="0063190E" w:rsidRPr="0050462C" w:rsidRDefault="0063190E" w:rsidP="00707D88">
      <w:pPr>
        <w:jc w:val="both"/>
        <w:rPr>
          <w:rFonts w:asciiTheme="majorBidi" w:hAnsiTheme="majorBidi" w:cstheme="majorBidi"/>
        </w:rPr>
      </w:pPr>
      <w:r w:rsidRPr="0050462C">
        <w:rPr>
          <w:rFonts w:asciiTheme="majorBidi" w:hAnsiTheme="majorBidi" w:cstheme="majorBidi"/>
        </w:rPr>
        <w:t xml:space="preserve">Despite significant protection challenges, monitoring identified several positive developments that contributed to reducing immediate risks and strengthening community resilience. In South Lebanon, residents benefited from medical consultations, psychosocial support activities, awareness sessions, shelter rehabilitation works, food assistance improvements, Baby Kit and Incontinence Kit distributions, and infrastructure interventions. </w:t>
      </w:r>
    </w:p>
    <w:p w14:paraId="2FE81690" w14:textId="4DD1521F" w:rsidR="0063190E" w:rsidRPr="0050462C" w:rsidRDefault="0063190E" w:rsidP="00707D88">
      <w:pPr>
        <w:jc w:val="both"/>
        <w:rPr>
          <w:rFonts w:asciiTheme="majorBidi" w:hAnsiTheme="majorBidi" w:cstheme="majorBidi"/>
        </w:rPr>
      </w:pPr>
      <w:r w:rsidRPr="0050462C">
        <w:rPr>
          <w:rFonts w:asciiTheme="majorBidi" w:hAnsiTheme="majorBidi" w:cstheme="majorBidi"/>
        </w:rPr>
        <w:t xml:space="preserve">In </w:t>
      </w:r>
      <w:proofErr w:type="gramStart"/>
      <w:r w:rsidRPr="0050462C">
        <w:rPr>
          <w:rFonts w:asciiTheme="majorBidi" w:hAnsiTheme="majorBidi" w:cstheme="majorBidi"/>
        </w:rPr>
        <w:t>the Bekaa</w:t>
      </w:r>
      <w:proofErr w:type="gramEnd"/>
      <w:r w:rsidRPr="0050462C">
        <w:rPr>
          <w:rFonts w:asciiTheme="majorBidi" w:hAnsiTheme="majorBidi" w:cstheme="majorBidi"/>
        </w:rPr>
        <w:t xml:space="preserve">, positive developments included successful referrals addressing food and basic needs, sanitation maintenance activities, restoration of water supply, installation of a water heater, and awareness activities conducted through community outreach and service mapping sessions. </w:t>
      </w:r>
    </w:p>
    <w:p w14:paraId="75B660C2" w14:textId="2EA349E8" w:rsidR="0063190E" w:rsidRPr="0050462C" w:rsidRDefault="1F43BD99" w:rsidP="1F43BD99">
      <w:pPr>
        <w:jc w:val="both"/>
        <w:rPr>
          <w:rFonts w:asciiTheme="majorBidi" w:hAnsiTheme="majorBidi" w:cstheme="majorBidi"/>
        </w:rPr>
      </w:pPr>
      <w:r w:rsidRPr="1F43BD99">
        <w:rPr>
          <w:rFonts w:asciiTheme="majorBidi" w:hAnsiTheme="majorBidi" w:cstheme="majorBidi"/>
        </w:rPr>
        <w:t xml:space="preserve">These interventions demonstrate the importance of maintaining strong protection presence, referral pathways, community engagement, and inter-sectoral coordination mechanisms, although the scale of needs continues to exceed available resources. </w:t>
      </w:r>
    </w:p>
    <w:p w14:paraId="42FBA75C" w14:textId="4294F998" w:rsidR="3F1FA75A" w:rsidRDefault="3F1FA75A" w:rsidP="00592DF6">
      <w:pPr>
        <w:pStyle w:val="Heading1"/>
        <w:pBdr>
          <w:bottom w:val="single" w:sz="8" w:space="6" w:color="3D6B2E"/>
        </w:pBdr>
        <w:spacing w:after="160" w:line="259" w:lineRule="auto"/>
        <w:rPr>
          <w:rFonts w:ascii="Oxfam TSTAR PRO" w:eastAsia="Oxfam TSTAR PRO" w:hAnsi="Oxfam TSTAR PRO" w:cs="Oxfam TSTAR PRO"/>
          <w:b/>
          <w:bCs/>
          <w:color w:val="1F4E79"/>
          <w:sz w:val="28"/>
          <w:szCs w:val="28"/>
        </w:rPr>
      </w:pPr>
      <w:r w:rsidRPr="00592DF6">
        <w:lastRenderedPageBreak/>
        <w:t xml:space="preserve"> </w:t>
      </w:r>
      <w:r w:rsidR="00592DF6">
        <w:rPr>
          <w:rFonts w:ascii="Oxfam TSTAR PRO" w:eastAsia="Oxfam TSTAR PRO" w:hAnsi="Oxfam TSTAR PRO" w:cs="Oxfam TSTAR PRO"/>
          <w:b/>
          <w:bCs/>
          <w:color w:val="1F4E79"/>
          <w:sz w:val="28"/>
          <w:szCs w:val="28"/>
        </w:rPr>
        <w:t>6</w:t>
      </w:r>
      <w:r w:rsidR="00592DF6" w:rsidRPr="00592DF6">
        <w:rPr>
          <w:rFonts w:ascii="Oxfam TSTAR PRO" w:eastAsia="Oxfam TSTAR PRO" w:hAnsi="Oxfam TSTAR PRO" w:cs="Oxfam TSTAR PRO"/>
          <w:b/>
          <w:bCs/>
          <w:color w:val="1F4E79"/>
          <w:sz w:val="28"/>
          <w:szCs w:val="28"/>
        </w:rPr>
        <w:t xml:space="preserve">. </w:t>
      </w:r>
      <w:r w:rsidR="00592DF6">
        <w:rPr>
          <w:rFonts w:ascii="Oxfam TSTAR PRO" w:eastAsia="Oxfam TSTAR PRO" w:hAnsi="Oxfam TSTAR PRO" w:cs="Oxfam TSTAR PRO"/>
          <w:b/>
          <w:bCs/>
          <w:color w:val="1F4E79"/>
          <w:sz w:val="28"/>
          <w:szCs w:val="28"/>
        </w:rPr>
        <w:t xml:space="preserve">Conclusion </w:t>
      </w:r>
    </w:p>
    <w:p w14:paraId="4BAD23DF" w14:textId="77777777" w:rsidR="00592DF6" w:rsidRPr="00592DF6" w:rsidRDefault="00592DF6" w:rsidP="00592DF6"/>
    <w:p w14:paraId="6A326343" w14:textId="6532A4D7" w:rsidR="0063190E" w:rsidRPr="0050462C" w:rsidRDefault="0063190E" w:rsidP="00707D88">
      <w:pPr>
        <w:jc w:val="both"/>
        <w:rPr>
          <w:rFonts w:asciiTheme="majorBidi" w:hAnsiTheme="majorBidi" w:cstheme="majorBidi"/>
        </w:rPr>
      </w:pPr>
      <w:r w:rsidRPr="0050462C">
        <w:rPr>
          <w:rFonts w:asciiTheme="majorBidi" w:hAnsiTheme="majorBidi" w:cstheme="majorBidi"/>
        </w:rPr>
        <w:t>The July 2026 protection monitoring findings indicate that the remaining displaced population across South Lebanon and the Bekaa continues to face complex and inter</w:t>
      </w:r>
      <w:r w:rsidR="00153F2A" w:rsidRPr="0050462C">
        <w:rPr>
          <w:rFonts w:asciiTheme="majorBidi" w:hAnsiTheme="majorBidi" w:cstheme="majorBidi"/>
        </w:rPr>
        <w:t xml:space="preserve">linked </w:t>
      </w:r>
      <w:r w:rsidRPr="0050462C">
        <w:rPr>
          <w:rFonts w:asciiTheme="majorBidi" w:hAnsiTheme="majorBidi" w:cstheme="majorBidi"/>
        </w:rPr>
        <w:t xml:space="preserve">protection risks. While displacement patterns differ between locations, findings consistently point to housing insecurity, economic deterioration, barriers to return, inadequate living conditions, financial obstacles to healthcare, accountability concerns, psychosocial distress, and persistent service gaps as key drivers of vulnerability. </w:t>
      </w:r>
    </w:p>
    <w:p w14:paraId="2A16F15C" w14:textId="4A84411B" w:rsidR="0063190E" w:rsidRPr="0050462C" w:rsidRDefault="3F1FA75A" w:rsidP="00707D88">
      <w:pPr>
        <w:jc w:val="both"/>
      </w:pPr>
      <w:r w:rsidRPr="3F1FA75A">
        <w:rPr>
          <w:rFonts w:asciiTheme="majorBidi" w:hAnsiTheme="majorBidi" w:cstheme="majorBidi"/>
        </w:rPr>
        <w:t xml:space="preserve">The gradual reduction in displacement should not obscure the reality that the remaining displaced households increasingly represent some of the most vulnerable populations affected by the crisis. Sustained protection monitoring, strengthened accountability mechanisms, targeted assistance, protection-sensitive shelter solutions, coordinated advocacy, and multi-sectoral interventions remain necessary to ensure that affected populations can access their rights, meet their basic </w:t>
      </w:r>
      <w:proofErr w:type="gramStart"/>
      <w:r w:rsidRPr="3F1FA75A">
        <w:rPr>
          <w:rFonts w:asciiTheme="majorBidi" w:hAnsiTheme="majorBidi" w:cstheme="majorBidi"/>
        </w:rPr>
        <w:t>needs, and</w:t>
      </w:r>
      <w:proofErr w:type="gramEnd"/>
      <w:r w:rsidRPr="3F1FA75A">
        <w:rPr>
          <w:rFonts w:asciiTheme="majorBidi" w:hAnsiTheme="majorBidi" w:cstheme="majorBidi"/>
        </w:rPr>
        <w:t xml:space="preserve"> pursue safe, voluntary, dignified, and informed solutions to displacement. </w:t>
      </w:r>
    </w:p>
    <w:p w14:paraId="636472A2" w14:textId="3A26BEFC" w:rsidR="0063190E" w:rsidRPr="0050462C" w:rsidRDefault="0063190E" w:rsidP="3F1FA75A">
      <w:pPr>
        <w:jc w:val="both"/>
        <w:rPr>
          <w:rFonts w:asciiTheme="majorBidi" w:hAnsiTheme="majorBidi" w:cstheme="majorBidi"/>
        </w:rPr>
      </w:pPr>
    </w:p>
    <w:p w14:paraId="4C45EE23" w14:textId="0500B280" w:rsidR="00592DF6" w:rsidRPr="0050462C" w:rsidRDefault="00592DF6" w:rsidP="00592DF6">
      <w:pPr>
        <w:pStyle w:val="Heading1"/>
        <w:pBdr>
          <w:bottom w:val="single" w:sz="8" w:space="6" w:color="3D6B2E"/>
        </w:pBdr>
        <w:spacing w:after="160" w:line="259" w:lineRule="auto"/>
      </w:pPr>
      <w:r>
        <w:rPr>
          <w:rFonts w:ascii="Oxfam TSTAR PRO" w:eastAsia="Oxfam TSTAR PRO" w:hAnsi="Oxfam TSTAR PRO" w:cs="Oxfam TSTAR PRO"/>
          <w:b/>
          <w:bCs/>
          <w:color w:val="1F4E79"/>
          <w:sz w:val="28"/>
          <w:szCs w:val="28"/>
        </w:rPr>
        <w:t>7</w:t>
      </w:r>
      <w:r w:rsidRPr="00592DF6">
        <w:rPr>
          <w:rFonts w:ascii="Oxfam TSTAR PRO" w:eastAsia="Oxfam TSTAR PRO" w:hAnsi="Oxfam TSTAR PRO" w:cs="Oxfam TSTAR PRO"/>
          <w:b/>
          <w:bCs/>
          <w:color w:val="1F4E79"/>
          <w:sz w:val="28"/>
          <w:szCs w:val="28"/>
        </w:rPr>
        <w:t xml:space="preserve">. </w:t>
      </w:r>
      <w:r>
        <w:rPr>
          <w:rFonts w:ascii="Oxfam TSTAR PRO" w:eastAsia="Oxfam TSTAR PRO" w:hAnsi="Oxfam TSTAR PRO" w:cs="Oxfam TSTAR PRO"/>
          <w:b/>
          <w:bCs/>
          <w:color w:val="1F4E79"/>
          <w:sz w:val="28"/>
          <w:szCs w:val="28"/>
        </w:rPr>
        <w:t xml:space="preserve">Advocacy-Oriented Recommendations </w:t>
      </w:r>
    </w:p>
    <w:p w14:paraId="5C10D361" w14:textId="7ECB9154" w:rsidR="0063190E" w:rsidRPr="0050462C" w:rsidRDefault="06645FD9" w:rsidP="004A48D8">
      <w:pPr>
        <w:jc w:val="both"/>
        <w:rPr>
          <w:rFonts w:asciiTheme="majorBidi" w:hAnsiTheme="majorBidi" w:cstheme="majorBidi"/>
          <w:b/>
          <w:bCs/>
        </w:rPr>
      </w:pPr>
      <w:r w:rsidRPr="06645FD9">
        <w:rPr>
          <w:rFonts w:asciiTheme="majorBidi" w:hAnsiTheme="majorBidi" w:cstheme="majorBidi"/>
          <w:b/>
          <w:bCs/>
        </w:rPr>
        <w:t>Government</w:t>
      </w:r>
      <w:r w:rsidRPr="004A48D8">
        <w:rPr>
          <w:rFonts w:asciiTheme="majorBidi" w:hAnsiTheme="majorBidi" w:cstheme="majorBidi"/>
          <w:b/>
          <w:bCs/>
        </w:rPr>
        <w:t xml:space="preserve"> of Lebanon:</w:t>
      </w:r>
    </w:p>
    <w:p w14:paraId="675D58ED" w14:textId="29FA0D3D" w:rsidR="0063190E" w:rsidRPr="004A48D8" w:rsidRDefault="06645FD9" w:rsidP="004A48D8">
      <w:pPr>
        <w:pStyle w:val="ListParagraph"/>
        <w:numPr>
          <w:ilvl w:val="0"/>
          <w:numId w:val="5"/>
        </w:numPr>
        <w:jc w:val="both"/>
        <w:rPr>
          <w:rFonts w:asciiTheme="majorBidi" w:hAnsiTheme="majorBidi" w:cstheme="majorBidi"/>
          <w:b/>
          <w:bCs/>
        </w:rPr>
      </w:pPr>
      <w:r w:rsidRPr="004A48D8">
        <w:rPr>
          <w:rFonts w:asciiTheme="majorBidi" w:hAnsiTheme="majorBidi" w:cstheme="majorBidi"/>
          <w:b/>
          <w:bCs/>
        </w:rPr>
        <w:t>Government of Lebanon should ensure that all collective shelter consolidation, closure, relocation, and return processes are carried out in a manner that fully upholds the principles of voluntariness, safety, dignity, and informed choice.</w:t>
      </w:r>
    </w:p>
    <w:p w14:paraId="6DF7F40B" w14:textId="73B06D61" w:rsidR="0063190E" w:rsidRPr="0050462C" w:rsidRDefault="06645FD9" w:rsidP="004A48D8">
      <w:pPr>
        <w:ind w:firstLine="720"/>
        <w:jc w:val="both"/>
        <w:rPr>
          <w:rFonts w:asciiTheme="majorBidi" w:hAnsiTheme="majorBidi" w:cstheme="majorBidi"/>
        </w:rPr>
      </w:pPr>
      <w:r w:rsidRPr="06645FD9">
        <w:rPr>
          <w:rFonts w:asciiTheme="majorBidi" w:hAnsiTheme="majorBidi" w:cstheme="majorBidi"/>
        </w:rPr>
        <w:t>Ensure families affected by shelter consolidation receive adequate notice, information</w:t>
      </w:r>
      <w:proofErr w:type="gramStart"/>
      <w:r w:rsidRPr="06645FD9">
        <w:rPr>
          <w:rFonts w:asciiTheme="majorBidi" w:hAnsiTheme="majorBidi" w:cstheme="majorBidi"/>
        </w:rPr>
        <w:t xml:space="preserve">, </w:t>
      </w:r>
      <w:r w:rsidR="0063190E">
        <w:tab/>
      </w:r>
      <w:r w:rsidRPr="06645FD9">
        <w:rPr>
          <w:rFonts w:asciiTheme="majorBidi" w:hAnsiTheme="majorBidi" w:cstheme="majorBidi"/>
        </w:rPr>
        <w:t>consultation</w:t>
      </w:r>
      <w:proofErr w:type="gramEnd"/>
      <w:r w:rsidRPr="06645FD9">
        <w:rPr>
          <w:rFonts w:asciiTheme="majorBidi" w:hAnsiTheme="majorBidi" w:cstheme="majorBidi"/>
        </w:rPr>
        <w:t xml:space="preserve"> and access to accommodation alternatives</w:t>
      </w:r>
      <w:r w:rsidR="004A48D8">
        <w:rPr>
          <w:rFonts w:asciiTheme="majorBidi" w:hAnsiTheme="majorBidi" w:cstheme="majorBidi"/>
        </w:rPr>
        <w:t>.</w:t>
      </w:r>
    </w:p>
    <w:p w14:paraId="0F5844E6" w14:textId="57A24884" w:rsidR="0063190E" w:rsidRPr="004A48D8" w:rsidRDefault="06645FD9" w:rsidP="004A48D8">
      <w:pPr>
        <w:pStyle w:val="ListParagraph"/>
        <w:numPr>
          <w:ilvl w:val="0"/>
          <w:numId w:val="4"/>
        </w:numPr>
        <w:jc w:val="both"/>
        <w:rPr>
          <w:rFonts w:asciiTheme="majorBidi" w:hAnsiTheme="majorBidi" w:cstheme="majorBidi"/>
          <w:b/>
          <w:bCs/>
        </w:rPr>
      </w:pPr>
      <w:r w:rsidRPr="004A48D8">
        <w:rPr>
          <w:rFonts w:asciiTheme="majorBidi" w:hAnsiTheme="majorBidi" w:cstheme="majorBidi"/>
          <w:b/>
          <w:bCs/>
        </w:rPr>
        <w:t xml:space="preserve">Ministry of Public Health must strengthen and expand access to free and affordable healthcare services for </w:t>
      </w:r>
      <w:proofErr w:type="gramStart"/>
      <w:r w:rsidRPr="004A48D8">
        <w:rPr>
          <w:rFonts w:asciiTheme="majorBidi" w:hAnsiTheme="majorBidi" w:cstheme="majorBidi"/>
          <w:b/>
          <w:bCs/>
        </w:rPr>
        <w:t>persons</w:t>
      </w:r>
      <w:proofErr w:type="gramEnd"/>
      <w:r w:rsidRPr="004A48D8">
        <w:rPr>
          <w:rFonts w:asciiTheme="majorBidi" w:hAnsiTheme="majorBidi" w:cstheme="majorBidi"/>
          <w:b/>
          <w:bCs/>
        </w:rPr>
        <w:t xml:space="preserve"> with disabilities, in line with the provisions of Law 220/2000, with particular emphasis on ensuring equitable access to specialized healthcare, rehabilitation, and assistive services.</w:t>
      </w:r>
    </w:p>
    <w:p w14:paraId="234F0B5A" w14:textId="56A27159" w:rsidR="0063190E" w:rsidRPr="004A48D8" w:rsidRDefault="2F081929" w:rsidP="004A48D8">
      <w:pPr>
        <w:ind w:firstLine="720"/>
        <w:jc w:val="both"/>
        <w:rPr>
          <w:rFonts w:asciiTheme="majorBidi" w:hAnsiTheme="majorBidi" w:cstheme="majorBidi"/>
        </w:rPr>
      </w:pPr>
      <w:r w:rsidRPr="004A48D8">
        <w:rPr>
          <w:rFonts w:asciiTheme="majorBidi" w:hAnsiTheme="majorBidi" w:cstheme="majorBidi"/>
        </w:rPr>
        <w:t xml:space="preserve">Advocate with health actors and donors to reduce financial, administrative, and </w:t>
      </w:r>
      <w:r w:rsidR="0063190E">
        <w:tab/>
      </w:r>
      <w:r w:rsidR="0063190E">
        <w:tab/>
      </w:r>
      <w:r w:rsidR="0063190E">
        <w:tab/>
      </w:r>
      <w:r w:rsidRPr="004A48D8">
        <w:rPr>
          <w:rFonts w:asciiTheme="majorBidi" w:hAnsiTheme="majorBidi" w:cstheme="majorBidi"/>
        </w:rPr>
        <w:t xml:space="preserve">information-related barriers that limit access to specialized services for </w:t>
      </w:r>
      <w:proofErr w:type="gramStart"/>
      <w:r w:rsidRPr="004A48D8">
        <w:rPr>
          <w:rFonts w:asciiTheme="majorBidi" w:hAnsiTheme="majorBidi" w:cstheme="majorBidi"/>
        </w:rPr>
        <w:t>persons</w:t>
      </w:r>
      <w:proofErr w:type="gramEnd"/>
      <w:r w:rsidRPr="004A48D8">
        <w:rPr>
          <w:rFonts w:asciiTheme="majorBidi" w:hAnsiTheme="majorBidi" w:cstheme="majorBidi"/>
        </w:rPr>
        <w:t xml:space="preserve"> with </w:t>
      </w:r>
      <w:r w:rsidR="0063190E">
        <w:tab/>
      </w:r>
      <w:r w:rsidR="0063190E">
        <w:tab/>
      </w:r>
      <w:r w:rsidRPr="004A48D8">
        <w:rPr>
          <w:rFonts w:asciiTheme="majorBidi" w:hAnsiTheme="majorBidi" w:cstheme="majorBidi"/>
        </w:rPr>
        <w:t xml:space="preserve">disabilities and older </w:t>
      </w:r>
      <w:proofErr w:type="gramStart"/>
      <w:r w:rsidRPr="004A48D8">
        <w:rPr>
          <w:rFonts w:asciiTheme="majorBidi" w:hAnsiTheme="majorBidi" w:cstheme="majorBidi"/>
        </w:rPr>
        <w:t>persons</w:t>
      </w:r>
      <w:proofErr w:type="gramEnd"/>
      <w:r w:rsidRPr="004A48D8">
        <w:rPr>
          <w:rFonts w:asciiTheme="majorBidi" w:hAnsiTheme="majorBidi" w:cstheme="majorBidi"/>
        </w:rPr>
        <w:t xml:space="preserve">, particularly those affected by conflict and residing in areas </w:t>
      </w:r>
      <w:r w:rsidR="0063190E">
        <w:tab/>
      </w:r>
      <w:r w:rsidRPr="004A48D8">
        <w:rPr>
          <w:rFonts w:asciiTheme="majorBidi" w:hAnsiTheme="majorBidi" w:cstheme="majorBidi"/>
        </w:rPr>
        <w:t xml:space="preserve">with </w:t>
      </w:r>
      <w:proofErr w:type="gramStart"/>
      <w:r w:rsidRPr="004A48D8">
        <w:rPr>
          <w:rFonts w:asciiTheme="majorBidi" w:hAnsiTheme="majorBidi" w:cstheme="majorBidi"/>
        </w:rPr>
        <w:t>limited service</w:t>
      </w:r>
      <w:proofErr w:type="gramEnd"/>
      <w:r w:rsidRPr="004A48D8">
        <w:rPr>
          <w:rFonts w:asciiTheme="majorBidi" w:hAnsiTheme="majorBidi" w:cstheme="majorBidi"/>
        </w:rPr>
        <w:t xml:space="preserve"> availability.   </w:t>
      </w:r>
    </w:p>
    <w:p w14:paraId="3483ACFE" w14:textId="05460CA4" w:rsidR="0063190E" w:rsidRPr="004A48D8" w:rsidRDefault="06645FD9" w:rsidP="004A48D8">
      <w:pPr>
        <w:pStyle w:val="ListParagraph"/>
        <w:numPr>
          <w:ilvl w:val="0"/>
          <w:numId w:val="3"/>
        </w:numPr>
        <w:jc w:val="both"/>
        <w:rPr>
          <w:rFonts w:asciiTheme="majorBidi" w:hAnsiTheme="majorBidi" w:cstheme="majorBidi"/>
          <w:b/>
          <w:bCs/>
        </w:rPr>
      </w:pPr>
      <w:r w:rsidRPr="004A48D8">
        <w:rPr>
          <w:rFonts w:asciiTheme="majorBidi" w:hAnsiTheme="majorBidi" w:cstheme="majorBidi"/>
          <w:b/>
          <w:bCs/>
        </w:rPr>
        <w:t xml:space="preserve">Ministry of Social Affairs must streamline and simplify the registration and renewal processes under the Rights and Access </w:t>
      </w:r>
      <w:proofErr w:type="spellStart"/>
      <w:r w:rsidRPr="004A48D8">
        <w:rPr>
          <w:rFonts w:asciiTheme="majorBidi" w:hAnsiTheme="majorBidi" w:cstheme="majorBidi"/>
          <w:b/>
          <w:bCs/>
        </w:rPr>
        <w:t>Programme</w:t>
      </w:r>
      <w:proofErr w:type="spellEnd"/>
      <w:r w:rsidRPr="004A48D8">
        <w:rPr>
          <w:rFonts w:asciiTheme="majorBidi" w:hAnsiTheme="majorBidi" w:cstheme="majorBidi"/>
          <w:b/>
          <w:bCs/>
        </w:rPr>
        <w:t xml:space="preserve">, including the issuance and </w:t>
      </w:r>
      <w:r w:rsidRPr="004A48D8">
        <w:rPr>
          <w:rFonts w:asciiTheme="majorBidi" w:hAnsiTheme="majorBidi" w:cstheme="majorBidi"/>
          <w:b/>
          <w:bCs/>
        </w:rPr>
        <w:lastRenderedPageBreak/>
        <w:t xml:space="preserve">renewal of disability cards, to facilitate timely access to services and entitlements for </w:t>
      </w:r>
      <w:proofErr w:type="gramStart"/>
      <w:r w:rsidRPr="004A48D8">
        <w:rPr>
          <w:rFonts w:asciiTheme="majorBidi" w:hAnsiTheme="majorBidi" w:cstheme="majorBidi"/>
          <w:b/>
          <w:bCs/>
        </w:rPr>
        <w:t>persons</w:t>
      </w:r>
      <w:proofErr w:type="gramEnd"/>
      <w:r w:rsidRPr="004A48D8">
        <w:rPr>
          <w:rFonts w:asciiTheme="majorBidi" w:hAnsiTheme="majorBidi" w:cstheme="majorBidi"/>
          <w:b/>
          <w:bCs/>
        </w:rPr>
        <w:t xml:space="preserve"> with disabilities. </w:t>
      </w:r>
    </w:p>
    <w:p w14:paraId="58F2582C" w14:textId="3AB8EBA5" w:rsidR="0063190E" w:rsidRPr="004A48D8" w:rsidRDefault="06645FD9" w:rsidP="004A48D8">
      <w:pPr>
        <w:ind w:left="720"/>
        <w:jc w:val="both"/>
        <w:rPr>
          <w:rFonts w:asciiTheme="majorBidi" w:hAnsiTheme="majorBidi" w:cstheme="majorBidi"/>
        </w:rPr>
      </w:pPr>
      <w:r w:rsidRPr="004A48D8">
        <w:rPr>
          <w:rFonts w:asciiTheme="majorBidi" w:hAnsiTheme="majorBidi" w:cstheme="majorBidi"/>
        </w:rPr>
        <w:t xml:space="preserve">Efforts should focus on simplifying and decentralizing disability registration procedures, strengthening awareness of eligibility criteria and referral pathways, and addressing challenges related to the collection of required documentation, lengthy administrative processes, and the limited availability of registration offices. Advocacy should also promote the expansion of disability-related services and entitlements, including assistive devices, home-based care supplies, rehabilitation services, and specialized healthcare. In addition, measures should be taken to reduce indirect access costs, particularly transportation expenses, and to streamline administrative requirements for accessing health services, including procedures related to obtaining authorization letters and other </w:t>
      </w:r>
      <w:r w:rsidR="0063190E">
        <w:tab/>
      </w:r>
      <w:r w:rsidRPr="06645FD9">
        <w:rPr>
          <w:rFonts w:asciiTheme="majorBidi" w:hAnsiTheme="majorBidi" w:cstheme="majorBidi"/>
        </w:rPr>
        <w:t xml:space="preserve">  </w:t>
      </w:r>
      <w:r w:rsidR="004A48D8">
        <w:rPr>
          <w:rFonts w:asciiTheme="majorBidi" w:hAnsiTheme="majorBidi" w:cstheme="majorBidi"/>
        </w:rPr>
        <w:t xml:space="preserve"> </w:t>
      </w:r>
      <w:r w:rsidRPr="004A48D8">
        <w:rPr>
          <w:rFonts w:asciiTheme="majorBidi" w:hAnsiTheme="majorBidi" w:cstheme="majorBidi"/>
        </w:rPr>
        <w:t>documentation required to benefit from available support. Priority should be given to ensuring that specialized services are available and accessible as close as possible to individuals' areas of residence.</w:t>
      </w:r>
    </w:p>
    <w:p w14:paraId="2C5D4BFF" w14:textId="5D8BC58B" w:rsidR="0063190E" w:rsidRPr="0050462C" w:rsidRDefault="2F081929" w:rsidP="004A48D8">
      <w:pPr>
        <w:jc w:val="both"/>
        <w:rPr>
          <w:rFonts w:asciiTheme="majorBidi" w:hAnsiTheme="majorBidi" w:cstheme="majorBidi"/>
          <w:b/>
          <w:bCs/>
        </w:rPr>
      </w:pPr>
      <w:r w:rsidRPr="004A48D8">
        <w:rPr>
          <w:rFonts w:asciiTheme="majorBidi" w:hAnsiTheme="majorBidi" w:cstheme="majorBidi"/>
          <w:b/>
          <w:bCs/>
        </w:rPr>
        <w:t xml:space="preserve">To the Shelter Sector in </w:t>
      </w:r>
      <w:proofErr w:type="spellStart"/>
      <w:r w:rsidRPr="004A48D8">
        <w:rPr>
          <w:rFonts w:asciiTheme="majorBidi" w:hAnsiTheme="majorBidi" w:cstheme="majorBidi"/>
          <w:b/>
          <w:bCs/>
        </w:rPr>
        <w:t>lebanon</w:t>
      </w:r>
      <w:proofErr w:type="spellEnd"/>
      <w:r w:rsidRPr="004A48D8">
        <w:rPr>
          <w:rFonts w:asciiTheme="majorBidi" w:hAnsiTheme="majorBidi" w:cstheme="majorBidi"/>
          <w:b/>
          <w:bCs/>
        </w:rPr>
        <w:t xml:space="preserve"> </w:t>
      </w:r>
    </w:p>
    <w:p w14:paraId="043BD6C5" w14:textId="0DAD3BEF" w:rsidR="0063190E" w:rsidRPr="004A48D8" w:rsidRDefault="2F081929" w:rsidP="004A48D8">
      <w:pPr>
        <w:pStyle w:val="ListParagraph"/>
        <w:numPr>
          <w:ilvl w:val="0"/>
          <w:numId w:val="2"/>
        </w:numPr>
        <w:jc w:val="both"/>
        <w:rPr>
          <w:rFonts w:asciiTheme="majorBidi" w:hAnsiTheme="majorBidi" w:cstheme="majorBidi"/>
          <w:b/>
          <w:bCs/>
        </w:rPr>
      </w:pPr>
      <w:r w:rsidRPr="004A48D8">
        <w:rPr>
          <w:rFonts w:asciiTheme="majorBidi" w:hAnsiTheme="majorBidi" w:cstheme="majorBidi"/>
          <w:b/>
          <w:bCs/>
        </w:rPr>
        <w:t xml:space="preserve">The shelter sector in Lebanon should strengthen shelter interventions to address housing insecurity and reduce barriers to safe, dignified, and sustainable return  </w:t>
      </w:r>
    </w:p>
    <w:p w14:paraId="7AA4DA2A" w14:textId="6C8C0508" w:rsidR="0063190E" w:rsidRPr="0050462C" w:rsidRDefault="2F081929" w:rsidP="004A48D8">
      <w:pPr>
        <w:ind w:firstLine="720"/>
        <w:jc w:val="both"/>
      </w:pPr>
      <w:r w:rsidRPr="2F081929">
        <w:rPr>
          <w:rFonts w:asciiTheme="majorBidi" w:hAnsiTheme="majorBidi" w:cstheme="majorBidi"/>
        </w:rPr>
        <w:t xml:space="preserve">Expand support for households unable to return because of damaged housing and </w:t>
      </w:r>
      <w:r w:rsidR="0063190E">
        <w:tab/>
      </w:r>
      <w:r w:rsidR="004A48D8">
        <w:t>f</w:t>
      </w:r>
      <w:r w:rsidRPr="2F081929">
        <w:rPr>
          <w:rFonts w:asciiTheme="majorBidi" w:hAnsiTheme="majorBidi" w:cstheme="majorBidi"/>
        </w:rPr>
        <w:t>inancial constraints.</w:t>
      </w:r>
    </w:p>
    <w:p w14:paraId="298416C6" w14:textId="46DA4DF4" w:rsidR="2F081929" w:rsidRPr="004A48D8" w:rsidRDefault="2F081929" w:rsidP="004A48D8">
      <w:pPr>
        <w:jc w:val="both"/>
        <w:rPr>
          <w:rFonts w:asciiTheme="majorBidi" w:hAnsiTheme="majorBidi" w:cstheme="majorBidi"/>
          <w:b/>
          <w:bCs/>
        </w:rPr>
      </w:pPr>
      <w:r w:rsidRPr="004A48D8">
        <w:rPr>
          <w:rFonts w:asciiTheme="majorBidi" w:hAnsiTheme="majorBidi" w:cstheme="majorBidi"/>
          <w:b/>
          <w:bCs/>
        </w:rPr>
        <w:t>To the donor Community</w:t>
      </w:r>
    </w:p>
    <w:p w14:paraId="4D361F1A" w14:textId="1EE3D423" w:rsidR="0063190E" w:rsidRPr="0050462C" w:rsidRDefault="2F081929" w:rsidP="004A48D8">
      <w:pPr>
        <w:pStyle w:val="ListParagraph"/>
        <w:numPr>
          <w:ilvl w:val="0"/>
          <w:numId w:val="1"/>
        </w:numPr>
        <w:jc w:val="both"/>
        <w:rPr>
          <w:rFonts w:asciiTheme="majorBidi" w:hAnsiTheme="majorBidi" w:cstheme="majorBidi"/>
        </w:rPr>
      </w:pPr>
      <w:r w:rsidRPr="004A48D8">
        <w:rPr>
          <w:rFonts w:asciiTheme="majorBidi" w:hAnsiTheme="majorBidi" w:cstheme="majorBidi"/>
          <w:b/>
          <w:bCs/>
        </w:rPr>
        <w:t xml:space="preserve">The donor community, particularly development-focused donors, must increase and sustain funding for economic recovery </w:t>
      </w:r>
      <w:proofErr w:type="spellStart"/>
      <w:r w:rsidRPr="004A48D8">
        <w:rPr>
          <w:rFonts w:asciiTheme="majorBidi" w:hAnsiTheme="majorBidi" w:cstheme="majorBidi"/>
          <w:b/>
          <w:bCs/>
        </w:rPr>
        <w:t>programmes</w:t>
      </w:r>
      <w:proofErr w:type="spellEnd"/>
      <w:r w:rsidRPr="004A48D8">
        <w:rPr>
          <w:rFonts w:asciiTheme="majorBidi" w:hAnsiTheme="majorBidi" w:cstheme="majorBidi"/>
          <w:b/>
          <w:bCs/>
        </w:rPr>
        <w:t xml:space="preserve"> to strengthen self-reliance, expand sustainable livelihood opportunities, and address the underlying drivers of economic vulnerability.</w:t>
      </w:r>
      <w:r w:rsidRPr="004A48D8">
        <w:rPr>
          <w:rFonts w:asciiTheme="majorBidi" w:hAnsiTheme="majorBidi" w:cstheme="majorBidi"/>
        </w:rPr>
        <w:t xml:space="preserve">  </w:t>
      </w:r>
    </w:p>
    <w:p w14:paraId="18BE0483" w14:textId="444D501D" w:rsidR="06645FD9" w:rsidRPr="004A48D8" w:rsidRDefault="2F081929" w:rsidP="004A48D8">
      <w:pPr>
        <w:ind w:firstLine="720"/>
        <w:jc w:val="both"/>
        <w:rPr>
          <w:rFonts w:asciiTheme="majorBidi" w:hAnsiTheme="majorBidi" w:cstheme="majorBidi"/>
        </w:rPr>
      </w:pPr>
      <w:r w:rsidRPr="004A48D8">
        <w:rPr>
          <w:rFonts w:asciiTheme="majorBidi" w:hAnsiTheme="majorBidi" w:cstheme="majorBidi"/>
        </w:rPr>
        <w:t xml:space="preserve">Enhanced support for sustainable livelihood opportunities, income generation, and </w:t>
      </w:r>
      <w:r w:rsidR="06645FD9">
        <w:tab/>
      </w:r>
      <w:r w:rsidRPr="004A48D8">
        <w:rPr>
          <w:rFonts w:asciiTheme="majorBidi" w:hAnsiTheme="majorBidi" w:cstheme="majorBidi"/>
        </w:rPr>
        <w:t xml:space="preserve">economic inclusion is critical to strengthening self-reliance, reducing negative coping </w:t>
      </w:r>
      <w:r w:rsidR="06645FD9">
        <w:tab/>
      </w:r>
      <w:r w:rsidRPr="004A48D8">
        <w:rPr>
          <w:rFonts w:asciiTheme="majorBidi" w:hAnsiTheme="majorBidi" w:cstheme="majorBidi"/>
        </w:rPr>
        <w:t>mechanisms, and mitigating protection vulnerabilities among affected populations.</w:t>
      </w:r>
    </w:p>
    <w:p w14:paraId="6F4E96BB" w14:textId="00BCCE1C" w:rsidR="00E7661D" w:rsidRDefault="0050462C">
      <w:pPr>
        <w:rPr>
          <w:rFonts w:asciiTheme="majorBidi" w:hAnsiTheme="majorBidi" w:cstheme="majorBidi"/>
        </w:rPr>
      </w:pP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p>
    <w:p w14:paraId="1D3E799C" w14:textId="3D2F99C0" w:rsidR="0050462C" w:rsidRPr="0050462C" w:rsidRDefault="0050462C" w:rsidP="2385D5DF">
      <w:pPr>
        <w:rPr>
          <w:rFonts w:asciiTheme="majorBidi" w:hAnsiTheme="majorBidi" w:cstheme="majorBidi"/>
        </w:rPr>
      </w:pP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p>
    <w:sectPr w:rsidR="0050462C" w:rsidRPr="005046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F5972" w14:textId="77777777" w:rsidR="00DB56F5" w:rsidRDefault="00DB56F5" w:rsidP="00592DF6">
      <w:pPr>
        <w:spacing w:after="0" w:line="240" w:lineRule="auto"/>
      </w:pPr>
      <w:r>
        <w:separator/>
      </w:r>
    </w:p>
  </w:endnote>
  <w:endnote w:type="continuationSeparator" w:id="0">
    <w:p w14:paraId="0E4B9531" w14:textId="77777777" w:rsidR="00DB56F5" w:rsidRDefault="00DB56F5" w:rsidP="00592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xfam TSTAR PRO">
    <w:panose1 w:val="02000806030000020004"/>
    <w:charset w:val="00"/>
    <w:family w:val="auto"/>
    <w:pitch w:val="variable"/>
    <w:sig w:usb0="800002AF" w:usb1="5000204A"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7444C" w14:textId="77777777" w:rsidR="00DB56F5" w:rsidRDefault="00DB56F5" w:rsidP="00592DF6">
      <w:pPr>
        <w:spacing w:after="0" w:line="240" w:lineRule="auto"/>
      </w:pPr>
      <w:r>
        <w:separator/>
      </w:r>
    </w:p>
  </w:footnote>
  <w:footnote w:type="continuationSeparator" w:id="0">
    <w:p w14:paraId="7B953A00" w14:textId="77777777" w:rsidR="00DB56F5" w:rsidRDefault="00DB56F5" w:rsidP="00592D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C847E"/>
    <w:multiLevelType w:val="hybridMultilevel"/>
    <w:tmpl w:val="D0DE6BC6"/>
    <w:lvl w:ilvl="0" w:tplc="F392C4F0">
      <w:start w:val="1"/>
      <w:numFmt w:val="bullet"/>
      <w:lvlText w:val="-"/>
      <w:lvlJc w:val="left"/>
      <w:pPr>
        <w:ind w:left="720" w:hanging="360"/>
      </w:pPr>
      <w:rPr>
        <w:rFonts w:ascii="Times New Roman" w:hAnsi="Times New Roman" w:hint="default"/>
      </w:rPr>
    </w:lvl>
    <w:lvl w:ilvl="1" w:tplc="D16A613C">
      <w:start w:val="1"/>
      <w:numFmt w:val="bullet"/>
      <w:lvlText w:val="o"/>
      <w:lvlJc w:val="left"/>
      <w:pPr>
        <w:ind w:left="1440" w:hanging="360"/>
      </w:pPr>
      <w:rPr>
        <w:rFonts w:ascii="Courier New" w:hAnsi="Courier New" w:hint="default"/>
      </w:rPr>
    </w:lvl>
    <w:lvl w:ilvl="2" w:tplc="D5EA2DC6">
      <w:start w:val="1"/>
      <w:numFmt w:val="bullet"/>
      <w:lvlText w:val=""/>
      <w:lvlJc w:val="left"/>
      <w:pPr>
        <w:ind w:left="2160" w:hanging="360"/>
      </w:pPr>
      <w:rPr>
        <w:rFonts w:ascii="Wingdings" w:hAnsi="Wingdings" w:hint="default"/>
      </w:rPr>
    </w:lvl>
    <w:lvl w:ilvl="3" w:tplc="605AF9F8">
      <w:start w:val="1"/>
      <w:numFmt w:val="bullet"/>
      <w:lvlText w:val=""/>
      <w:lvlJc w:val="left"/>
      <w:pPr>
        <w:ind w:left="2880" w:hanging="360"/>
      </w:pPr>
      <w:rPr>
        <w:rFonts w:ascii="Symbol" w:hAnsi="Symbol" w:hint="default"/>
      </w:rPr>
    </w:lvl>
    <w:lvl w:ilvl="4" w:tplc="588C8BD4">
      <w:start w:val="1"/>
      <w:numFmt w:val="bullet"/>
      <w:lvlText w:val="o"/>
      <w:lvlJc w:val="left"/>
      <w:pPr>
        <w:ind w:left="3600" w:hanging="360"/>
      </w:pPr>
      <w:rPr>
        <w:rFonts w:ascii="Courier New" w:hAnsi="Courier New" w:hint="default"/>
      </w:rPr>
    </w:lvl>
    <w:lvl w:ilvl="5" w:tplc="EBA242A2">
      <w:start w:val="1"/>
      <w:numFmt w:val="bullet"/>
      <w:lvlText w:val=""/>
      <w:lvlJc w:val="left"/>
      <w:pPr>
        <w:ind w:left="4320" w:hanging="360"/>
      </w:pPr>
      <w:rPr>
        <w:rFonts w:ascii="Wingdings" w:hAnsi="Wingdings" w:hint="default"/>
      </w:rPr>
    </w:lvl>
    <w:lvl w:ilvl="6" w:tplc="C10EEDCE">
      <w:start w:val="1"/>
      <w:numFmt w:val="bullet"/>
      <w:lvlText w:val=""/>
      <w:lvlJc w:val="left"/>
      <w:pPr>
        <w:ind w:left="5040" w:hanging="360"/>
      </w:pPr>
      <w:rPr>
        <w:rFonts w:ascii="Symbol" w:hAnsi="Symbol" w:hint="default"/>
      </w:rPr>
    </w:lvl>
    <w:lvl w:ilvl="7" w:tplc="AB160F20">
      <w:start w:val="1"/>
      <w:numFmt w:val="bullet"/>
      <w:lvlText w:val="o"/>
      <w:lvlJc w:val="left"/>
      <w:pPr>
        <w:ind w:left="5760" w:hanging="360"/>
      </w:pPr>
      <w:rPr>
        <w:rFonts w:ascii="Courier New" w:hAnsi="Courier New" w:hint="default"/>
      </w:rPr>
    </w:lvl>
    <w:lvl w:ilvl="8" w:tplc="81B0A526">
      <w:start w:val="1"/>
      <w:numFmt w:val="bullet"/>
      <w:lvlText w:val=""/>
      <w:lvlJc w:val="left"/>
      <w:pPr>
        <w:ind w:left="6480" w:hanging="360"/>
      </w:pPr>
      <w:rPr>
        <w:rFonts w:ascii="Wingdings" w:hAnsi="Wingdings" w:hint="default"/>
      </w:rPr>
    </w:lvl>
  </w:abstractNum>
  <w:abstractNum w:abstractNumId="1" w15:restartNumberingAfterBreak="0">
    <w:nsid w:val="291F5E1A"/>
    <w:multiLevelType w:val="hybridMultilevel"/>
    <w:tmpl w:val="D03890FC"/>
    <w:lvl w:ilvl="0" w:tplc="7C5A0482">
      <w:start w:val="1"/>
      <w:numFmt w:val="bullet"/>
      <w:lvlText w:val="-"/>
      <w:lvlJc w:val="left"/>
      <w:pPr>
        <w:ind w:left="720" w:hanging="360"/>
      </w:pPr>
      <w:rPr>
        <w:rFonts w:ascii="Times New Roman" w:hAnsi="Times New Roman" w:hint="default"/>
      </w:rPr>
    </w:lvl>
    <w:lvl w:ilvl="1" w:tplc="52363816">
      <w:start w:val="1"/>
      <w:numFmt w:val="bullet"/>
      <w:lvlText w:val="o"/>
      <w:lvlJc w:val="left"/>
      <w:pPr>
        <w:ind w:left="1440" w:hanging="360"/>
      </w:pPr>
      <w:rPr>
        <w:rFonts w:ascii="Courier New" w:hAnsi="Courier New" w:hint="default"/>
      </w:rPr>
    </w:lvl>
    <w:lvl w:ilvl="2" w:tplc="2A00B038">
      <w:start w:val="1"/>
      <w:numFmt w:val="bullet"/>
      <w:lvlText w:val=""/>
      <w:lvlJc w:val="left"/>
      <w:pPr>
        <w:ind w:left="2160" w:hanging="360"/>
      </w:pPr>
      <w:rPr>
        <w:rFonts w:ascii="Wingdings" w:hAnsi="Wingdings" w:hint="default"/>
      </w:rPr>
    </w:lvl>
    <w:lvl w:ilvl="3" w:tplc="E9FAA954">
      <w:start w:val="1"/>
      <w:numFmt w:val="bullet"/>
      <w:lvlText w:val=""/>
      <w:lvlJc w:val="left"/>
      <w:pPr>
        <w:ind w:left="2880" w:hanging="360"/>
      </w:pPr>
      <w:rPr>
        <w:rFonts w:ascii="Symbol" w:hAnsi="Symbol" w:hint="default"/>
      </w:rPr>
    </w:lvl>
    <w:lvl w:ilvl="4" w:tplc="9568479C">
      <w:start w:val="1"/>
      <w:numFmt w:val="bullet"/>
      <w:lvlText w:val="o"/>
      <w:lvlJc w:val="left"/>
      <w:pPr>
        <w:ind w:left="3600" w:hanging="360"/>
      </w:pPr>
      <w:rPr>
        <w:rFonts w:ascii="Courier New" w:hAnsi="Courier New" w:hint="default"/>
      </w:rPr>
    </w:lvl>
    <w:lvl w:ilvl="5" w:tplc="BC94F9A0">
      <w:start w:val="1"/>
      <w:numFmt w:val="bullet"/>
      <w:lvlText w:val=""/>
      <w:lvlJc w:val="left"/>
      <w:pPr>
        <w:ind w:left="4320" w:hanging="360"/>
      </w:pPr>
      <w:rPr>
        <w:rFonts w:ascii="Wingdings" w:hAnsi="Wingdings" w:hint="default"/>
      </w:rPr>
    </w:lvl>
    <w:lvl w:ilvl="6" w:tplc="020E31AE">
      <w:start w:val="1"/>
      <w:numFmt w:val="bullet"/>
      <w:lvlText w:val=""/>
      <w:lvlJc w:val="left"/>
      <w:pPr>
        <w:ind w:left="5040" w:hanging="360"/>
      </w:pPr>
      <w:rPr>
        <w:rFonts w:ascii="Symbol" w:hAnsi="Symbol" w:hint="default"/>
      </w:rPr>
    </w:lvl>
    <w:lvl w:ilvl="7" w:tplc="4A2A7F2E">
      <w:start w:val="1"/>
      <w:numFmt w:val="bullet"/>
      <w:lvlText w:val="o"/>
      <w:lvlJc w:val="left"/>
      <w:pPr>
        <w:ind w:left="5760" w:hanging="360"/>
      </w:pPr>
      <w:rPr>
        <w:rFonts w:ascii="Courier New" w:hAnsi="Courier New" w:hint="default"/>
      </w:rPr>
    </w:lvl>
    <w:lvl w:ilvl="8" w:tplc="88AE2238">
      <w:start w:val="1"/>
      <w:numFmt w:val="bullet"/>
      <w:lvlText w:val=""/>
      <w:lvlJc w:val="left"/>
      <w:pPr>
        <w:ind w:left="6480" w:hanging="360"/>
      </w:pPr>
      <w:rPr>
        <w:rFonts w:ascii="Wingdings" w:hAnsi="Wingdings" w:hint="default"/>
      </w:rPr>
    </w:lvl>
  </w:abstractNum>
  <w:abstractNum w:abstractNumId="2" w15:restartNumberingAfterBreak="0">
    <w:nsid w:val="43FCAF9F"/>
    <w:multiLevelType w:val="hybridMultilevel"/>
    <w:tmpl w:val="2D1C18C2"/>
    <w:lvl w:ilvl="0" w:tplc="46080F00">
      <w:start w:val="1"/>
      <w:numFmt w:val="bullet"/>
      <w:lvlText w:val="-"/>
      <w:lvlJc w:val="left"/>
      <w:pPr>
        <w:ind w:left="720" w:hanging="360"/>
      </w:pPr>
      <w:rPr>
        <w:rFonts w:ascii="Aptos" w:hAnsi="Aptos" w:hint="default"/>
      </w:rPr>
    </w:lvl>
    <w:lvl w:ilvl="1" w:tplc="E30257F0">
      <w:start w:val="1"/>
      <w:numFmt w:val="bullet"/>
      <w:lvlText w:val="o"/>
      <w:lvlJc w:val="left"/>
      <w:pPr>
        <w:ind w:left="1440" w:hanging="360"/>
      </w:pPr>
      <w:rPr>
        <w:rFonts w:ascii="Courier New" w:hAnsi="Courier New" w:hint="default"/>
      </w:rPr>
    </w:lvl>
    <w:lvl w:ilvl="2" w:tplc="FB929270">
      <w:start w:val="1"/>
      <w:numFmt w:val="bullet"/>
      <w:lvlText w:val=""/>
      <w:lvlJc w:val="left"/>
      <w:pPr>
        <w:ind w:left="2160" w:hanging="360"/>
      </w:pPr>
      <w:rPr>
        <w:rFonts w:ascii="Wingdings" w:hAnsi="Wingdings" w:hint="default"/>
      </w:rPr>
    </w:lvl>
    <w:lvl w:ilvl="3" w:tplc="790ADC10">
      <w:start w:val="1"/>
      <w:numFmt w:val="bullet"/>
      <w:lvlText w:val=""/>
      <w:lvlJc w:val="left"/>
      <w:pPr>
        <w:ind w:left="2880" w:hanging="360"/>
      </w:pPr>
      <w:rPr>
        <w:rFonts w:ascii="Symbol" w:hAnsi="Symbol" w:hint="default"/>
      </w:rPr>
    </w:lvl>
    <w:lvl w:ilvl="4" w:tplc="CD2473C6">
      <w:start w:val="1"/>
      <w:numFmt w:val="bullet"/>
      <w:lvlText w:val="o"/>
      <w:lvlJc w:val="left"/>
      <w:pPr>
        <w:ind w:left="3600" w:hanging="360"/>
      </w:pPr>
      <w:rPr>
        <w:rFonts w:ascii="Courier New" w:hAnsi="Courier New" w:hint="default"/>
      </w:rPr>
    </w:lvl>
    <w:lvl w:ilvl="5" w:tplc="DC4A8068">
      <w:start w:val="1"/>
      <w:numFmt w:val="bullet"/>
      <w:lvlText w:val=""/>
      <w:lvlJc w:val="left"/>
      <w:pPr>
        <w:ind w:left="4320" w:hanging="360"/>
      </w:pPr>
      <w:rPr>
        <w:rFonts w:ascii="Wingdings" w:hAnsi="Wingdings" w:hint="default"/>
      </w:rPr>
    </w:lvl>
    <w:lvl w:ilvl="6" w:tplc="A240FD58">
      <w:start w:val="1"/>
      <w:numFmt w:val="bullet"/>
      <w:lvlText w:val=""/>
      <w:lvlJc w:val="left"/>
      <w:pPr>
        <w:ind w:left="5040" w:hanging="360"/>
      </w:pPr>
      <w:rPr>
        <w:rFonts w:ascii="Symbol" w:hAnsi="Symbol" w:hint="default"/>
      </w:rPr>
    </w:lvl>
    <w:lvl w:ilvl="7" w:tplc="D92AAAD0">
      <w:start w:val="1"/>
      <w:numFmt w:val="bullet"/>
      <w:lvlText w:val="o"/>
      <w:lvlJc w:val="left"/>
      <w:pPr>
        <w:ind w:left="5760" w:hanging="360"/>
      </w:pPr>
      <w:rPr>
        <w:rFonts w:ascii="Courier New" w:hAnsi="Courier New" w:hint="default"/>
      </w:rPr>
    </w:lvl>
    <w:lvl w:ilvl="8" w:tplc="5EBEFD60">
      <w:start w:val="1"/>
      <w:numFmt w:val="bullet"/>
      <w:lvlText w:val=""/>
      <w:lvlJc w:val="left"/>
      <w:pPr>
        <w:ind w:left="6480" w:hanging="360"/>
      </w:pPr>
      <w:rPr>
        <w:rFonts w:ascii="Wingdings" w:hAnsi="Wingdings" w:hint="default"/>
      </w:rPr>
    </w:lvl>
  </w:abstractNum>
  <w:abstractNum w:abstractNumId="3" w15:restartNumberingAfterBreak="0">
    <w:nsid w:val="4DABC255"/>
    <w:multiLevelType w:val="hybridMultilevel"/>
    <w:tmpl w:val="A270415A"/>
    <w:lvl w:ilvl="0" w:tplc="972CEEF6">
      <w:start w:val="1"/>
      <w:numFmt w:val="bullet"/>
      <w:lvlText w:val="-"/>
      <w:lvlJc w:val="left"/>
      <w:pPr>
        <w:ind w:left="720" w:hanging="360"/>
      </w:pPr>
      <w:rPr>
        <w:rFonts w:ascii="Times New Roman" w:hAnsi="Times New Roman" w:hint="default"/>
      </w:rPr>
    </w:lvl>
    <w:lvl w:ilvl="1" w:tplc="DDACCF04">
      <w:start w:val="1"/>
      <w:numFmt w:val="bullet"/>
      <w:lvlText w:val="o"/>
      <w:lvlJc w:val="left"/>
      <w:pPr>
        <w:ind w:left="1440" w:hanging="360"/>
      </w:pPr>
      <w:rPr>
        <w:rFonts w:ascii="Courier New" w:hAnsi="Courier New" w:hint="default"/>
      </w:rPr>
    </w:lvl>
    <w:lvl w:ilvl="2" w:tplc="61FEA864">
      <w:start w:val="1"/>
      <w:numFmt w:val="bullet"/>
      <w:lvlText w:val=""/>
      <w:lvlJc w:val="left"/>
      <w:pPr>
        <w:ind w:left="2160" w:hanging="360"/>
      </w:pPr>
      <w:rPr>
        <w:rFonts w:ascii="Wingdings" w:hAnsi="Wingdings" w:hint="default"/>
      </w:rPr>
    </w:lvl>
    <w:lvl w:ilvl="3" w:tplc="AF2248C4">
      <w:start w:val="1"/>
      <w:numFmt w:val="bullet"/>
      <w:lvlText w:val=""/>
      <w:lvlJc w:val="left"/>
      <w:pPr>
        <w:ind w:left="2880" w:hanging="360"/>
      </w:pPr>
      <w:rPr>
        <w:rFonts w:ascii="Symbol" w:hAnsi="Symbol" w:hint="default"/>
      </w:rPr>
    </w:lvl>
    <w:lvl w:ilvl="4" w:tplc="ECEA9164">
      <w:start w:val="1"/>
      <w:numFmt w:val="bullet"/>
      <w:lvlText w:val="o"/>
      <w:lvlJc w:val="left"/>
      <w:pPr>
        <w:ind w:left="3600" w:hanging="360"/>
      </w:pPr>
      <w:rPr>
        <w:rFonts w:ascii="Courier New" w:hAnsi="Courier New" w:hint="default"/>
      </w:rPr>
    </w:lvl>
    <w:lvl w:ilvl="5" w:tplc="3B3CBD7A">
      <w:start w:val="1"/>
      <w:numFmt w:val="bullet"/>
      <w:lvlText w:val=""/>
      <w:lvlJc w:val="left"/>
      <w:pPr>
        <w:ind w:left="4320" w:hanging="360"/>
      </w:pPr>
      <w:rPr>
        <w:rFonts w:ascii="Wingdings" w:hAnsi="Wingdings" w:hint="default"/>
      </w:rPr>
    </w:lvl>
    <w:lvl w:ilvl="6" w:tplc="8E860D76">
      <w:start w:val="1"/>
      <w:numFmt w:val="bullet"/>
      <w:lvlText w:val=""/>
      <w:lvlJc w:val="left"/>
      <w:pPr>
        <w:ind w:left="5040" w:hanging="360"/>
      </w:pPr>
      <w:rPr>
        <w:rFonts w:ascii="Symbol" w:hAnsi="Symbol" w:hint="default"/>
      </w:rPr>
    </w:lvl>
    <w:lvl w:ilvl="7" w:tplc="E2D212F0">
      <w:start w:val="1"/>
      <w:numFmt w:val="bullet"/>
      <w:lvlText w:val="o"/>
      <w:lvlJc w:val="left"/>
      <w:pPr>
        <w:ind w:left="5760" w:hanging="360"/>
      </w:pPr>
      <w:rPr>
        <w:rFonts w:ascii="Courier New" w:hAnsi="Courier New" w:hint="default"/>
      </w:rPr>
    </w:lvl>
    <w:lvl w:ilvl="8" w:tplc="EFFC40EC">
      <w:start w:val="1"/>
      <w:numFmt w:val="bullet"/>
      <w:lvlText w:val=""/>
      <w:lvlJc w:val="left"/>
      <w:pPr>
        <w:ind w:left="6480" w:hanging="360"/>
      </w:pPr>
      <w:rPr>
        <w:rFonts w:ascii="Wingdings" w:hAnsi="Wingdings" w:hint="default"/>
      </w:rPr>
    </w:lvl>
  </w:abstractNum>
  <w:abstractNum w:abstractNumId="4" w15:restartNumberingAfterBreak="0">
    <w:nsid w:val="5268287E"/>
    <w:multiLevelType w:val="hybridMultilevel"/>
    <w:tmpl w:val="DDA48B14"/>
    <w:lvl w:ilvl="0" w:tplc="F8DEF346">
      <w:start w:val="1"/>
      <w:numFmt w:val="bullet"/>
      <w:lvlText w:val="-"/>
      <w:lvlJc w:val="left"/>
      <w:pPr>
        <w:ind w:left="720" w:hanging="360"/>
      </w:pPr>
      <w:rPr>
        <w:rFonts w:ascii="Times New Roman" w:hAnsi="Times New Roman" w:hint="default"/>
      </w:rPr>
    </w:lvl>
    <w:lvl w:ilvl="1" w:tplc="8D661900">
      <w:start w:val="1"/>
      <w:numFmt w:val="bullet"/>
      <w:lvlText w:val="o"/>
      <w:lvlJc w:val="left"/>
      <w:pPr>
        <w:ind w:left="1440" w:hanging="360"/>
      </w:pPr>
      <w:rPr>
        <w:rFonts w:ascii="Courier New" w:hAnsi="Courier New" w:hint="default"/>
      </w:rPr>
    </w:lvl>
    <w:lvl w:ilvl="2" w:tplc="93DE57BC">
      <w:start w:val="1"/>
      <w:numFmt w:val="bullet"/>
      <w:lvlText w:val=""/>
      <w:lvlJc w:val="left"/>
      <w:pPr>
        <w:ind w:left="2160" w:hanging="360"/>
      </w:pPr>
      <w:rPr>
        <w:rFonts w:ascii="Wingdings" w:hAnsi="Wingdings" w:hint="default"/>
      </w:rPr>
    </w:lvl>
    <w:lvl w:ilvl="3" w:tplc="304ACF24">
      <w:start w:val="1"/>
      <w:numFmt w:val="bullet"/>
      <w:lvlText w:val=""/>
      <w:lvlJc w:val="left"/>
      <w:pPr>
        <w:ind w:left="2880" w:hanging="360"/>
      </w:pPr>
      <w:rPr>
        <w:rFonts w:ascii="Symbol" w:hAnsi="Symbol" w:hint="default"/>
      </w:rPr>
    </w:lvl>
    <w:lvl w:ilvl="4" w:tplc="3D1A6392">
      <w:start w:val="1"/>
      <w:numFmt w:val="bullet"/>
      <w:lvlText w:val="o"/>
      <w:lvlJc w:val="left"/>
      <w:pPr>
        <w:ind w:left="3600" w:hanging="360"/>
      </w:pPr>
      <w:rPr>
        <w:rFonts w:ascii="Courier New" w:hAnsi="Courier New" w:hint="default"/>
      </w:rPr>
    </w:lvl>
    <w:lvl w:ilvl="5" w:tplc="765ABE24">
      <w:start w:val="1"/>
      <w:numFmt w:val="bullet"/>
      <w:lvlText w:val=""/>
      <w:lvlJc w:val="left"/>
      <w:pPr>
        <w:ind w:left="4320" w:hanging="360"/>
      </w:pPr>
      <w:rPr>
        <w:rFonts w:ascii="Wingdings" w:hAnsi="Wingdings" w:hint="default"/>
      </w:rPr>
    </w:lvl>
    <w:lvl w:ilvl="6" w:tplc="0DD4D9DA">
      <w:start w:val="1"/>
      <w:numFmt w:val="bullet"/>
      <w:lvlText w:val=""/>
      <w:lvlJc w:val="left"/>
      <w:pPr>
        <w:ind w:left="5040" w:hanging="360"/>
      </w:pPr>
      <w:rPr>
        <w:rFonts w:ascii="Symbol" w:hAnsi="Symbol" w:hint="default"/>
      </w:rPr>
    </w:lvl>
    <w:lvl w:ilvl="7" w:tplc="00E0D146">
      <w:start w:val="1"/>
      <w:numFmt w:val="bullet"/>
      <w:lvlText w:val="o"/>
      <w:lvlJc w:val="left"/>
      <w:pPr>
        <w:ind w:left="5760" w:hanging="360"/>
      </w:pPr>
      <w:rPr>
        <w:rFonts w:ascii="Courier New" w:hAnsi="Courier New" w:hint="default"/>
      </w:rPr>
    </w:lvl>
    <w:lvl w:ilvl="8" w:tplc="0D2C9BDC">
      <w:start w:val="1"/>
      <w:numFmt w:val="bullet"/>
      <w:lvlText w:val=""/>
      <w:lvlJc w:val="left"/>
      <w:pPr>
        <w:ind w:left="6480" w:hanging="360"/>
      </w:pPr>
      <w:rPr>
        <w:rFonts w:ascii="Wingdings" w:hAnsi="Wingdings" w:hint="default"/>
      </w:rPr>
    </w:lvl>
  </w:abstractNum>
  <w:abstractNum w:abstractNumId="5" w15:restartNumberingAfterBreak="0">
    <w:nsid w:val="5583ACE5"/>
    <w:multiLevelType w:val="hybridMultilevel"/>
    <w:tmpl w:val="10AC1368"/>
    <w:lvl w:ilvl="0" w:tplc="BA0048FE">
      <w:start w:val="1"/>
      <w:numFmt w:val="bullet"/>
      <w:lvlText w:val="-"/>
      <w:lvlJc w:val="left"/>
      <w:pPr>
        <w:ind w:left="720" w:hanging="360"/>
      </w:pPr>
      <w:rPr>
        <w:rFonts w:ascii="Times New Roman" w:hAnsi="Times New Roman" w:hint="default"/>
      </w:rPr>
    </w:lvl>
    <w:lvl w:ilvl="1" w:tplc="AE2C43E8">
      <w:start w:val="1"/>
      <w:numFmt w:val="bullet"/>
      <w:lvlText w:val="o"/>
      <w:lvlJc w:val="left"/>
      <w:pPr>
        <w:ind w:left="1440" w:hanging="360"/>
      </w:pPr>
      <w:rPr>
        <w:rFonts w:ascii="Courier New" w:hAnsi="Courier New" w:hint="default"/>
      </w:rPr>
    </w:lvl>
    <w:lvl w:ilvl="2" w:tplc="9A369B4C">
      <w:start w:val="1"/>
      <w:numFmt w:val="bullet"/>
      <w:lvlText w:val=""/>
      <w:lvlJc w:val="left"/>
      <w:pPr>
        <w:ind w:left="2160" w:hanging="360"/>
      </w:pPr>
      <w:rPr>
        <w:rFonts w:ascii="Wingdings" w:hAnsi="Wingdings" w:hint="default"/>
      </w:rPr>
    </w:lvl>
    <w:lvl w:ilvl="3" w:tplc="27F4274C">
      <w:start w:val="1"/>
      <w:numFmt w:val="bullet"/>
      <w:lvlText w:val=""/>
      <w:lvlJc w:val="left"/>
      <w:pPr>
        <w:ind w:left="2880" w:hanging="360"/>
      </w:pPr>
      <w:rPr>
        <w:rFonts w:ascii="Symbol" w:hAnsi="Symbol" w:hint="default"/>
      </w:rPr>
    </w:lvl>
    <w:lvl w:ilvl="4" w:tplc="D60C0580">
      <w:start w:val="1"/>
      <w:numFmt w:val="bullet"/>
      <w:lvlText w:val="o"/>
      <w:lvlJc w:val="left"/>
      <w:pPr>
        <w:ind w:left="3600" w:hanging="360"/>
      </w:pPr>
      <w:rPr>
        <w:rFonts w:ascii="Courier New" w:hAnsi="Courier New" w:hint="default"/>
      </w:rPr>
    </w:lvl>
    <w:lvl w:ilvl="5" w:tplc="61CC5B68">
      <w:start w:val="1"/>
      <w:numFmt w:val="bullet"/>
      <w:lvlText w:val=""/>
      <w:lvlJc w:val="left"/>
      <w:pPr>
        <w:ind w:left="4320" w:hanging="360"/>
      </w:pPr>
      <w:rPr>
        <w:rFonts w:ascii="Wingdings" w:hAnsi="Wingdings" w:hint="default"/>
      </w:rPr>
    </w:lvl>
    <w:lvl w:ilvl="6" w:tplc="11FE814E">
      <w:start w:val="1"/>
      <w:numFmt w:val="bullet"/>
      <w:lvlText w:val=""/>
      <w:lvlJc w:val="left"/>
      <w:pPr>
        <w:ind w:left="5040" w:hanging="360"/>
      </w:pPr>
      <w:rPr>
        <w:rFonts w:ascii="Symbol" w:hAnsi="Symbol" w:hint="default"/>
      </w:rPr>
    </w:lvl>
    <w:lvl w:ilvl="7" w:tplc="36C6D202">
      <w:start w:val="1"/>
      <w:numFmt w:val="bullet"/>
      <w:lvlText w:val="o"/>
      <w:lvlJc w:val="left"/>
      <w:pPr>
        <w:ind w:left="5760" w:hanging="360"/>
      </w:pPr>
      <w:rPr>
        <w:rFonts w:ascii="Courier New" w:hAnsi="Courier New" w:hint="default"/>
      </w:rPr>
    </w:lvl>
    <w:lvl w:ilvl="8" w:tplc="1B747886">
      <w:start w:val="1"/>
      <w:numFmt w:val="bullet"/>
      <w:lvlText w:val=""/>
      <w:lvlJc w:val="left"/>
      <w:pPr>
        <w:ind w:left="6480" w:hanging="360"/>
      </w:pPr>
      <w:rPr>
        <w:rFonts w:ascii="Wingdings" w:hAnsi="Wingdings" w:hint="default"/>
      </w:rPr>
    </w:lvl>
  </w:abstractNum>
  <w:num w:numId="1" w16cid:durableId="820274027">
    <w:abstractNumId w:val="2"/>
  </w:num>
  <w:num w:numId="2" w16cid:durableId="138890185">
    <w:abstractNumId w:val="1"/>
  </w:num>
  <w:num w:numId="3" w16cid:durableId="1285036945">
    <w:abstractNumId w:val="0"/>
  </w:num>
  <w:num w:numId="4" w16cid:durableId="26034060">
    <w:abstractNumId w:val="4"/>
  </w:num>
  <w:num w:numId="5" w16cid:durableId="538782133">
    <w:abstractNumId w:val="3"/>
  </w:num>
  <w:num w:numId="6" w16cid:durableId="7876272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90E"/>
    <w:rsid w:val="00153F2A"/>
    <w:rsid w:val="00220A87"/>
    <w:rsid w:val="002472A5"/>
    <w:rsid w:val="00280286"/>
    <w:rsid w:val="002E3148"/>
    <w:rsid w:val="00366632"/>
    <w:rsid w:val="003E6805"/>
    <w:rsid w:val="004A48D8"/>
    <w:rsid w:val="0050462C"/>
    <w:rsid w:val="00583758"/>
    <w:rsid w:val="00592DF6"/>
    <w:rsid w:val="0063021B"/>
    <w:rsid w:val="0063190E"/>
    <w:rsid w:val="00707D88"/>
    <w:rsid w:val="007C3BCD"/>
    <w:rsid w:val="008D09AD"/>
    <w:rsid w:val="00BF7572"/>
    <w:rsid w:val="00C3591E"/>
    <w:rsid w:val="00C573A9"/>
    <w:rsid w:val="00CD3AE3"/>
    <w:rsid w:val="00D66761"/>
    <w:rsid w:val="00D879CD"/>
    <w:rsid w:val="00DB56F5"/>
    <w:rsid w:val="00E20D98"/>
    <w:rsid w:val="00E44DC9"/>
    <w:rsid w:val="00E7661D"/>
    <w:rsid w:val="06645FD9"/>
    <w:rsid w:val="09400267"/>
    <w:rsid w:val="0F3F3F80"/>
    <w:rsid w:val="12315AB1"/>
    <w:rsid w:val="16FA46A9"/>
    <w:rsid w:val="18FFD879"/>
    <w:rsid w:val="19824D35"/>
    <w:rsid w:val="19913057"/>
    <w:rsid w:val="1D28DC08"/>
    <w:rsid w:val="1F43BD99"/>
    <w:rsid w:val="2385D5DF"/>
    <w:rsid w:val="2F081929"/>
    <w:rsid w:val="3806B964"/>
    <w:rsid w:val="3A12411D"/>
    <w:rsid w:val="3AD99410"/>
    <w:rsid w:val="3F1FA75A"/>
    <w:rsid w:val="42F86C9E"/>
    <w:rsid w:val="44A45529"/>
    <w:rsid w:val="4C0C3B15"/>
    <w:rsid w:val="4F0D85FB"/>
    <w:rsid w:val="4F23BEAF"/>
    <w:rsid w:val="52923538"/>
    <w:rsid w:val="5E06360D"/>
    <w:rsid w:val="64D0D807"/>
    <w:rsid w:val="65CA852B"/>
    <w:rsid w:val="65F41277"/>
    <w:rsid w:val="67303C8C"/>
    <w:rsid w:val="74525CC9"/>
    <w:rsid w:val="747246AE"/>
    <w:rsid w:val="778F8F2D"/>
    <w:rsid w:val="783726C1"/>
    <w:rsid w:val="7916EF89"/>
    <w:rsid w:val="79B642A7"/>
    <w:rsid w:val="7CE5A1F7"/>
    <w:rsid w:val="7FC852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535D4"/>
  <w15:chartTrackingRefBased/>
  <w15:docId w15:val="{E0E54D5E-0950-4296-B29A-DA817E51A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19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319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19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19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19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19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19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19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19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9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319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19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19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19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19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19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19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190E"/>
    <w:rPr>
      <w:rFonts w:eastAsiaTheme="majorEastAsia" w:cstheme="majorBidi"/>
      <w:color w:val="272727" w:themeColor="text1" w:themeTint="D8"/>
    </w:rPr>
  </w:style>
  <w:style w:type="paragraph" w:styleId="Title">
    <w:name w:val="Title"/>
    <w:basedOn w:val="Normal"/>
    <w:next w:val="Normal"/>
    <w:link w:val="TitleChar"/>
    <w:uiPriority w:val="10"/>
    <w:qFormat/>
    <w:rsid w:val="006319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19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19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19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190E"/>
    <w:pPr>
      <w:spacing w:before="160"/>
      <w:jc w:val="center"/>
    </w:pPr>
    <w:rPr>
      <w:i/>
      <w:iCs/>
      <w:color w:val="404040" w:themeColor="text1" w:themeTint="BF"/>
    </w:rPr>
  </w:style>
  <w:style w:type="character" w:customStyle="1" w:styleId="QuoteChar">
    <w:name w:val="Quote Char"/>
    <w:basedOn w:val="DefaultParagraphFont"/>
    <w:link w:val="Quote"/>
    <w:uiPriority w:val="29"/>
    <w:rsid w:val="0063190E"/>
    <w:rPr>
      <w:i/>
      <w:iCs/>
      <w:color w:val="404040" w:themeColor="text1" w:themeTint="BF"/>
    </w:rPr>
  </w:style>
  <w:style w:type="paragraph" w:styleId="ListParagraph">
    <w:name w:val="List Paragraph"/>
    <w:basedOn w:val="Normal"/>
    <w:uiPriority w:val="34"/>
    <w:qFormat/>
    <w:rsid w:val="0063190E"/>
    <w:pPr>
      <w:ind w:left="720"/>
      <w:contextualSpacing/>
    </w:pPr>
  </w:style>
  <w:style w:type="character" w:styleId="IntenseEmphasis">
    <w:name w:val="Intense Emphasis"/>
    <w:basedOn w:val="DefaultParagraphFont"/>
    <w:uiPriority w:val="21"/>
    <w:qFormat/>
    <w:rsid w:val="0063190E"/>
    <w:rPr>
      <w:i/>
      <w:iCs/>
      <w:color w:val="0F4761" w:themeColor="accent1" w:themeShade="BF"/>
    </w:rPr>
  </w:style>
  <w:style w:type="paragraph" w:styleId="IntenseQuote">
    <w:name w:val="Intense Quote"/>
    <w:basedOn w:val="Normal"/>
    <w:next w:val="Normal"/>
    <w:link w:val="IntenseQuoteChar"/>
    <w:uiPriority w:val="30"/>
    <w:qFormat/>
    <w:rsid w:val="006319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190E"/>
    <w:rPr>
      <w:i/>
      <w:iCs/>
      <w:color w:val="0F4761" w:themeColor="accent1" w:themeShade="BF"/>
    </w:rPr>
  </w:style>
  <w:style w:type="character" w:styleId="IntenseReference">
    <w:name w:val="Intense Reference"/>
    <w:basedOn w:val="DefaultParagraphFont"/>
    <w:uiPriority w:val="32"/>
    <w:qFormat/>
    <w:rsid w:val="0063190E"/>
    <w:rPr>
      <w:b/>
      <w:bCs/>
      <w:smallCaps/>
      <w:color w:val="0F4761" w:themeColor="accent1" w:themeShade="BF"/>
      <w:spacing w:val="5"/>
    </w:rPr>
  </w:style>
  <w:style w:type="character" w:styleId="Hyperlink">
    <w:name w:val="Hyperlink"/>
    <w:basedOn w:val="DefaultParagraphFont"/>
    <w:uiPriority w:val="99"/>
    <w:unhideWhenUsed/>
    <w:rsid w:val="0063190E"/>
    <w:rPr>
      <w:color w:val="467886" w:themeColor="hyperlink"/>
      <w:u w:val="single"/>
    </w:rPr>
  </w:style>
  <w:style w:type="character" w:styleId="UnresolvedMention">
    <w:name w:val="Unresolved Mention"/>
    <w:basedOn w:val="DefaultParagraphFont"/>
    <w:uiPriority w:val="99"/>
    <w:semiHidden/>
    <w:unhideWhenUsed/>
    <w:rsid w:val="0063190E"/>
    <w:rPr>
      <w:color w:val="605E5C"/>
      <w:shd w:val="clear" w:color="auto" w:fill="E1DFDD"/>
    </w:rPr>
  </w:style>
  <w:style w:type="character" w:styleId="CommentReference">
    <w:name w:val="annotation reference"/>
    <w:basedOn w:val="DefaultParagraphFont"/>
    <w:uiPriority w:val="99"/>
    <w:semiHidden/>
    <w:unhideWhenUsed/>
    <w:rsid w:val="0063190E"/>
    <w:rPr>
      <w:sz w:val="16"/>
      <w:szCs w:val="16"/>
    </w:rPr>
  </w:style>
  <w:style w:type="paragraph" w:styleId="CommentText">
    <w:name w:val="annotation text"/>
    <w:basedOn w:val="Normal"/>
    <w:link w:val="CommentTextChar"/>
    <w:uiPriority w:val="99"/>
    <w:unhideWhenUsed/>
    <w:rsid w:val="0063190E"/>
    <w:pPr>
      <w:spacing w:line="240" w:lineRule="auto"/>
    </w:pPr>
    <w:rPr>
      <w:sz w:val="20"/>
      <w:szCs w:val="20"/>
    </w:rPr>
  </w:style>
  <w:style w:type="character" w:customStyle="1" w:styleId="CommentTextChar">
    <w:name w:val="Comment Text Char"/>
    <w:basedOn w:val="DefaultParagraphFont"/>
    <w:link w:val="CommentText"/>
    <w:uiPriority w:val="99"/>
    <w:rsid w:val="0063190E"/>
    <w:rPr>
      <w:sz w:val="20"/>
      <w:szCs w:val="20"/>
    </w:rPr>
  </w:style>
  <w:style w:type="paragraph" w:styleId="CommentSubject">
    <w:name w:val="annotation subject"/>
    <w:basedOn w:val="CommentText"/>
    <w:next w:val="CommentText"/>
    <w:link w:val="CommentSubjectChar"/>
    <w:uiPriority w:val="99"/>
    <w:semiHidden/>
    <w:unhideWhenUsed/>
    <w:rsid w:val="0063190E"/>
    <w:rPr>
      <w:b/>
      <w:bCs/>
    </w:rPr>
  </w:style>
  <w:style w:type="character" w:customStyle="1" w:styleId="CommentSubjectChar">
    <w:name w:val="Comment Subject Char"/>
    <w:basedOn w:val="CommentTextChar"/>
    <w:link w:val="CommentSubject"/>
    <w:uiPriority w:val="99"/>
    <w:semiHidden/>
    <w:rsid w:val="0063190E"/>
    <w:rPr>
      <w:b/>
      <w:bCs/>
      <w:sz w:val="20"/>
      <w:szCs w:val="20"/>
    </w:rPr>
  </w:style>
  <w:style w:type="paragraph" w:styleId="Revision">
    <w:name w:val="Revision"/>
    <w:hidden/>
    <w:uiPriority w:val="99"/>
    <w:semiHidden/>
    <w:rsid w:val="00592DF6"/>
    <w:pPr>
      <w:spacing w:after="0" w:line="240" w:lineRule="auto"/>
    </w:pPr>
  </w:style>
  <w:style w:type="paragraph" w:styleId="Header">
    <w:name w:val="header"/>
    <w:basedOn w:val="Normal"/>
    <w:link w:val="HeaderChar"/>
    <w:uiPriority w:val="99"/>
    <w:unhideWhenUsed/>
    <w:rsid w:val="00592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DF6"/>
  </w:style>
  <w:style w:type="paragraph" w:styleId="Footer">
    <w:name w:val="footer"/>
    <w:basedOn w:val="Normal"/>
    <w:link w:val="FooterChar"/>
    <w:uiPriority w:val="99"/>
    <w:unhideWhenUsed/>
    <w:rsid w:val="00592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8A9D2-9DDD-43C7-B521-920D0C1F0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2815</Words>
  <Characters>16046</Characters>
  <Application>Microsoft Office Word</Application>
  <DocSecurity>0</DocSecurity>
  <Lines>133</Lines>
  <Paragraphs>37</Paragraphs>
  <ScaleCrop>false</ScaleCrop>
  <Company/>
  <LinksUpToDate>false</LinksUpToDate>
  <CharactersWithSpaces>18824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Ismail</dc:creator>
  <cp:keywords/>
  <dc:description/>
  <cp:lastModifiedBy>Farah Ismail</cp:lastModifiedBy>
  <cp:revision>2</cp:revision>
  <dcterms:created xsi:type="dcterms:W3CDTF">2026-09-29T09:24:00Z</dcterms:created>
  <dcterms:modified xsi:type="dcterms:W3CDTF">2026-09-29T09:24:00Z</dcterms:modified>
</cp:coreProperties>
</file>